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A08C" w14:textId="19DF332E" w:rsidR="003974E3" w:rsidRPr="00E0075F" w:rsidRDefault="00D5026E" w:rsidP="003974E3">
      <w:pPr>
        <w:pStyle w:val="Titel"/>
        <w:rPr>
          <w:sz w:val="48"/>
          <w:lang w:val="en-GB"/>
        </w:rPr>
      </w:pPr>
      <w:r>
        <w:rPr>
          <w:sz w:val="48"/>
          <w:lang w:val="en-GB"/>
        </w:rPr>
        <w:t xml:space="preserve">X3 - </w:t>
      </w:r>
      <w:r w:rsidR="003974E3">
        <w:rPr>
          <w:sz w:val="48"/>
          <w:lang w:val="en-GB"/>
        </w:rPr>
        <w:t xml:space="preserve">Predictive Transport Process Monitoring </w:t>
      </w:r>
    </w:p>
    <w:p w14:paraId="4FFED83A" w14:textId="22BB27F5" w:rsidR="003974E3" w:rsidRDefault="003974E3" w:rsidP="003974E3">
      <w:pPr>
        <w:pStyle w:val="berschrift1"/>
        <w:rPr>
          <w:lang w:val="en-GB"/>
        </w:rPr>
      </w:pPr>
      <w:r w:rsidRPr="00E97364">
        <w:rPr>
          <w:lang w:val="en-GB"/>
        </w:rPr>
        <w:t xml:space="preserve">Summary of the innovation </w:t>
      </w:r>
    </w:p>
    <w:p w14:paraId="7EB9F9D7" w14:textId="77777777" w:rsidR="00C4421E" w:rsidRDefault="00845789" w:rsidP="00845789">
      <w:pPr>
        <w:pStyle w:val="berschrift1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</w:pPr>
      <w:r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Predictive business process monitoring aims at forecasting potential problems during process execution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. Predictive business process monitoring thereby facilitates </w:t>
      </w:r>
      <w:r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handl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ing</w:t>
      </w:r>
      <w:r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these problems </w:t>
      </w:r>
      <w:r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proactively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before they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occur</w:t>
      </w:r>
      <w:r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. 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We 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adapt and tune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three main classes of predictive monitoring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techniques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to the problem of forecasting transport process instances. In particular, we show that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machine learning, constraint satisfaction, and Quality-of-Service (QoS) aggregation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can be used for transport prediction and that we can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consistently 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achieve a prediction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accuracy of 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more than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70%.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To improve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the prediction process, we exploit the characteristics of the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individual techniques and 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define an ensemble of these techniques. E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vidence indicates that 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this may, for instance, improve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precision by 14%</w:t>
      </w:r>
      <w:r w:rsidR="00C442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or </w:t>
      </w:r>
      <w:r w:rsidR="00C4421E" w:rsidRPr="0084578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recall by 23%.</w:t>
      </w:r>
    </w:p>
    <w:p w14:paraId="3FB2A5F7" w14:textId="00F896FB" w:rsidR="003974E3" w:rsidRDefault="003974E3" w:rsidP="00845789">
      <w:pPr>
        <w:pStyle w:val="berschrift1"/>
        <w:rPr>
          <w:lang w:val="en-GB"/>
        </w:rPr>
      </w:pPr>
      <w:r>
        <w:rPr>
          <w:lang w:val="en-GB"/>
        </w:rPr>
        <w:t xml:space="preserve">Key features / capabilities </w:t>
      </w:r>
    </w:p>
    <w:p w14:paraId="4395CE1F" w14:textId="77777777" w:rsidR="003974E3" w:rsidRDefault="00F7182D" w:rsidP="003974E3">
      <w:pPr>
        <w:pStyle w:val="Listenabsatz"/>
        <w:numPr>
          <w:ilvl w:val="0"/>
          <w:numId w:val="4"/>
        </w:numPr>
        <w:rPr>
          <w:szCs w:val="20"/>
          <w:lang w:val="en-GB"/>
        </w:rPr>
      </w:pPr>
      <w:r>
        <w:rPr>
          <w:szCs w:val="20"/>
          <w:lang w:val="en-GB"/>
        </w:rPr>
        <w:t>Prediction of completion time of running transport process instances</w:t>
      </w:r>
    </w:p>
    <w:p w14:paraId="6511497C" w14:textId="77777777" w:rsidR="00F7182D" w:rsidRPr="00095960" w:rsidRDefault="00F7182D" w:rsidP="003974E3">
      <w:pPr>
        <w:pStyle w:val="Listenabsatz"/>
        <w:numPr>
          <w:ilvl w:val="0"/>
          <w:numId w:val="4"/>
        </w:numPr>
        <w:rPr>
          <w:szCs w:val="20"/>
          <w:lang w:val="en-GB"/>
        </w:rPr>
      </w:pPr>
      <w:r>
        <w:rPr>
          <w:szCs w:val="20"/>
          <w:lang w:val="en-GB"/>
        </w:rPr>
        <w:t>Ensemble prediction to fine-tune prediction accuracy depending on application situation</w:t>
      </w:r>
    </w:p>
    <w:p w14:paraId="633D0C29" w14:textId="77777777" w:rsidR="003974E3" w:rsidRDefault="003974E3" w:rsidP="003974E3">
      <w:pPr>
        <w:pStyle w:val="berschrift1"/>
        <w:rPr>
          <w:lang w:val="en-GB"/>
        </w:rPr>
      </w:pPr>
      <w:r>
        <w:rPr>
          <w:lang w:val="en-GB"/>
        </w:rPr>
        <w:t xml:space="preserve">Maturity level (TRL - Technology Readiness Level) </w:t>
      </w:r>
    </w:p>
    <w:p w14:paraId="3808733C" w14:textId="77777777" w:rsidR="003974E3" w:rsidRPr="001A7A4B" w:rsidRDefault="003974E3" w:rsidP="003974E3">
      <w:pPr>
        <w:pStyle w:val="Listenabsatz"/>
        <w:numPr>
          <w:ilvl w:val="0"/>
          <w:numId w:val="2"/>
        </w:numPr>
        <w:rPr>
          <w:lang w:val="en-GB"/>
        </w:rPr>
      </w:pPr>
      <w:r w:rsidRPr="001A7A4B">
        <w:rPr>
          <w:lang w:val="en-GB"/>
        </w:rPr>
        <w:t xml:space="preserve">TRL 4 – technology validated in lab </w:t>
      </w:r>
    </w:p>
    <w:p w14:paraId="3739A5AE" w14:textId="77777777" w:rsidR="003974E3" w:rsidRDefault="003974E3" w:rsidP="003974E3">
      <w:pPr>
        <w:pStyle w:val="berschrift1"/>
        <w:rPr>
          <w:lang w:val="en-GB"/>
        </w:rPr>
      </w:pPr>
      <w:r>
        <w:rPr>
          <w:lang w:val="en-GB"/>
        </w:rPr>
        <w:t xml:space="preserve">Availability </w:t>
      </w:r>
    </w:p>
    <w:p w14:paraId="3995D8BB" w14:textId="77777777" w:rsidR="003974E3" w:rsidRDefault="003974E3" w:rsidP="003974E3">
      <w:pPr>
        <w:pStyle w:val="Listenabsatz"/>
        <w:numPr>
          <w:ilvl w:val="0"/>
          <w:numId w:val="2"/>
        </w:numPr>
        <w:rPr>
          <w:lang w:val="en-GB"/>
        </w:rPr>
      </w:pPr>
      <w:r w:rsidRPr="001A7A4B">
        <w:rPr>
          <w:lang w:val="en-GB"/>
        </w:rPr>
        <w:t xml:space="preserve">Research paper </w:t>
      </w:r>
    </w:p>
    <w:p w14:paraId="44A85394" w14:textId="77777777" w:rsidR="00676BEE" w:rsidRDefault="00676BEE" w:rsidP="00676BEE">
      <w:pPr>
        <w:pStyle w:val="Listenabsatz"/>
        <w:numPr>
          <w:ilvl w:val="1"/>
          <w:numId w:val="2"/>
        </w:numPr>
        <w:rPr>
          <w:lang w:val="en-GB"/>
        </w:rPr>
      </w:pPr>
      <w:r w:rsidRPr="00676BEE">
        <w:rPr>
          <w:lang w:val="en-GB"/>
        </w:rPr>
        <w:t>A. Metzger, P. L</w:t>
      </w:r>
      <w:r w:rsidR="001D6A6B">
        <w:rPr>
          <w:lang w:val="en-GB"/>
        </w:rPr>
        <w:t>eitner, D. Ivanovi</w:t>
      </w:r>
      <w:r w:rsidRPr="00676BEE">
        <w:rPr>
          <w:lang w:val="en-GB"/>
        </w:rPr>
        <w:t xml:space="preserve"> c, E. Schmieders, R. Franklin, M. Carro, S. Dustdar, and K. Pohl, “Comparing and combining predictive business process monitoring techniques,” IEEE Trans. on Systems</w:t>
      </w:r>
      <w:r>
        <w:rPr>
          <w:lang w:val="en-GB"/>
        </w:rPr>
        <w:t xml:space="preserve"> </w:t>
      </w:r>
      <w:r w:rsidRPr="00676BEE">
        <w:rPr>
          <w:lang w:val="en-GB"/>
        </w:rPr>
        <w:t>Man Cybernetics: Systems, vol. 45, no. 2, pp. 276–290, 2015.</w:t>
      </w:r>
      <w:r>
        <w:rPr>
          <w:lang w:val="en-GB"/>
        </w:rPr>
        <w:t xml:space="preserve"> </w:t>
      </w:r>
      <w:hyperlink r:id="rId8" w:history="1">
        <w:r w:rsidRPr="006E1A71">
          <w:rPr>
            <w:rStyle w:val="Hyperlink"/>
            <w:lang w:val="en-GB"/>
          </w:rPr>
          <w:t>http://dx.doi.org/10.1109/TSMC.2014.2347265</w:t>
        </w:r>
      </w:hyperlink>
    </w:p>
    <w:p w14:paraId="089B1FD9" w14:textId="77777777" w:rsidR="0059254A" w:rsidRPr="005D01CD" w:rsidRDefault="0059254A" w:rsidP="0059254A">
      <w:pPr>
        <w:pStyle w:val="Listenabsatz"/>
        <w:numPr>
          <w:ilvl w:val="1"/>
          <w:numId w:val="2"/>
        </w:numPr>
        <w:rPr>
          <w:rStyle w:val="Hyperlink"/>
          <w:color w:val="auto"/>
          <w:u w:val="none"/>
          <w:lang w:val="en-GB"/>
        </w:rPr>
      </w:pPr>
      <w:r w:rsidRPr="0059254A">
        <w:rPr>
          <w:lang w:val="en-GB"/>
        </w:rPr>
        <w:t>A. Metzger, R. Franklin, and Y. Engel, “Predictive monitoring of heterogeneous service-oriented business networks: The transport and logistics case (best paper award: service engineering innovation &amp; quality),” in Service Research and Innovation Institute Global Conference (SRII 2012), ser. Conference Publishing Service (CPS), R. Badinelli, F. Bodendorf, S. Towers, S. Singhal, and M. Gupta, Eds. IEEE Computer</w:t>
      </w:r>
      <w:r>
        <w:rPr>
          <w:lang w:val="en-GB"/>
        </w:rPr>
        <w:t xml:space="preserve"> </w:t>
      </w:r>
      <w:r w:rsidRPr="0059254A">
        <w:rPr>
          <w:lang w:val="en-GB"/>
        </w:rPr>
        <w:t>Society, 2012, pp. 313–322.</w:t>
      </w:r>
      <w:r>
        <w:rPr>
          <w:lang w:val="en-GB"/>
        </w:rPr>
        <w:t xml:space="preserve"> </w:t>
      </w:r>
      <w:hyperlink r:id="rId9" w:history="1">
        <w:r w:rsidRPr="006E1A71">
          <w:rPr>
            <w:rStyle w:val="Hyperlink"/>
            <w:lang w:val="en-GB"/>
          </w:rPr>
          <w:t>http://dx.doi.org/10.1109/SRII.2012.42</w:t>
        </w:r>
      </w:hyperlink>
    </w:p>
    <w:p w14:paraId="42217B75" w14:textId="77777777" w:rsidR="003974E3" w:rsidRPr="003974E3" w:rsidRDefault="003974E3" w:rsidP="003974E3">
      <w:pPr>
        <w:pStyle w:val="Listenabsatz"/>
        <w:numPr>
          <w:ilvl w:val="0"/>
          <w:numId w:val="2"/>
        </w:numPr>
        <w:rPr>
          <w:lang w:val="en-GB"/>
        </w:rPr>
      </w:pPr>
      <w:r w:rsidRPr="003974E3">
        <w:rPr>
          <w:lang w:val="en-GB"/>
        </w:rPr>
        <w:t>Other</w:t>
      </w:r>
    </w:p>
    <w:p w14:paraId="198A171D" w14:textId="77777777" w:rsidR="003974E3" w:rsidRPr="003974E3" w:rsidRDefault="003974E3" w:rsidP="003974E3">
      <w:pPr>
        <w:pStyle w:val="Listenabsatz"/>
        <w:numPr>
          <w:ilvl w:val="1"/>
          <w:numId w:val="2"/>
        </w:numPr>
        <w:rPr>
          <w:lang w:val="en-GB"/>
        </w:rPr>
      </w:pPr>
      <w:r w:rsidRPr="003974E3">
        <w:rPr>
          <w:lang w:val="en-GB"/>
        </w:rPr>
        <w:t>Industry data set of transport processes (Cargo 2000)</w:t>
      </w:r>
      <w:r>
        <w:rPr>
          <w:lang w:val="en-GB"/>
        </w:rPr>
        <w:t xml:space="preserve">; </w:t>
      </w:r>
      <w:hyperlink r:id="rId10" w:history="1">
        <w:r w:rsidRPr="003974E3">
          <w:rPr>
            <w:rStyle w:val="Hyperlink"/>
            <w:lang w:val="en-GB"/>
          </w:rPr>
          <w:t>http://www.s-cube-network.eu/c2k</w:t>
        </w:r>
      </w:hyperlink>
    </w:p>
    <w:p w14:paraId="61A584AE" w14:textId="77777777" w:rsidR="003974E3" w:rsidRPr="003974E3" w:rsidRDefault="003974E3" w:rsidP="003974E3">
      <w:pPr>
        <w:pStyle w:val="berschrift1"/>
      </w:pPr>
      <w:r w:rsidRPr="003974E3">
        <w:t>Licensing</w:t>
      </w:r>
    </w:p>
    <w:p w14:paraId="25DFFC8D" w14:textId="77777777" w:rsidR="003974E3" w:rsidRDefault="003974E3" w:rsidP="003974E3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Public domain (</w:t>
      </w:r>
      <w:r w:rsidR="004761B1">
        <w:rPr>
          <w:lang w:val="en-GB"/>
        </w:rPr>
        <w:t xml:space="preserve">algorithms described in </w:t>
      </w:r>
      <w:r>
        <w:rPr>
          <w:lang w:val="en-GB"/>
        </w:rPr>
        <w:t>research papers</w:t>
      </w:r>
      <w:r w:rsidR="004761B1">
        <w:rPr>
          <w:lang w:val="en-GB"/>
        </w:rPr>
        <w:t xml:space="preserve">; industrial </w:t>
      </w:r>
      <w:r>
        <w:rPr>
          <w:lang w:val="en-GB"/>
        </w:rPr>
        <w:t>data set)</w:t>
      </w:r>
    </w:p>
    <w:p w14:paraId="1C67A6F5" w14:textId="77777777" w:rsidR="003974E3" w:rsidRDefault="003974E3" w:rsidP="003974E3">
      <w:pPr>
        <w:pStyle w:val="berschrift1"/>
        <w:rPr>
          <w:lang w:val="en-GB"/>
        </w:rPr>
      </w:pPr>
      <w:r w:rsidRPr="001A7A4B">
        <w:rPr>
          <w:lang w:val="en-GB"/>
        </w:rPr>
        <w:t>FIspace partner(s) that own innovation</w:t>
      </w:r>
      <w:r>
        <w:rPr>
          <w:lang w:val="en-GB"/>
        </w:rPr>
        <w:t xml:space="preserve"> &amp; contact points</w:t>
      </w:r>
    </w:p>
    <w:p w14:paraId="4F7CC345" w14:textId="77777777" w:rsidR="003974E3" w:rsidRPr="005D01CD" w:rsidRDefault="003974E3" w:rsidP="003974E3">
      <w:pPr>
        <w:pStyle w:val="Listenabsatz"/>
        <w:numPr>
          <w:ilvl w:val="0"/>
          <w:numId w:val="5"/>
        </w:numPr>
        <w:rPr>
          <w:rStyle w:val="Hyperlink"/>
          <w:color w:val="auto"/>
          <w:u w:val="none"/>
          <w:lang w:val="en-GB"/>
        </w:rPr>
      </w:pPr>
      <w:r w:rsidRPr="00BE78E1">
        <w:rPr>
          <w:lang w:val="en-GB"/>
        </w:rPr>
        <w:t xml:space="preserve">paluno, University of Duisburg-Essen; </w:t>
      </w:r>
      <w:hyperlink r:id="rId11" w:history="1">
        <w:r w:rsidRPr="00D5796A">
          <w:rPr>
            <w:rStyle w:val="Hyperlink"/>
            <w:lang w:val="en-GB"/>
          </w:rPr>
          <w:t>andreas.metzger@paluno.uni-due.de</w:t>
        </w:r>
      </w:hyperlink>
    </w:p>
    <w:p w14:paraId="005C05BD" w14:textId="77777777" w:rsidR="00567C10" w:rsidRDefault="00567C10" w:rsidP="00567C10">
      <w:pPr>
        <w:rPr>
          <w:lang w:val="en-GB"/>
        </w:rPr>
      </w:pPr>
    </w:p>
    <w:p w14:paraId="03C22810" w14:textId="77777777" w:rsidR="00567C10" w:rsidRPr="00567C10" w:rsidRDefault="00567C10" w:rsidP="00567C10">
      <w:pPr>
        <w:rPr>
          <w:lang w:val="en-GB"/>
        </w:rPr>
      </w:pPr>
      <w:bookmarkStart w:id="0" w:name="_GoBack"/>
      <w:bookmarkEnd w:id="0"/>
    </w:p>
    <w:sectPr w:rsidR="00567C10" w:rsidRPr="00567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D326E" w14:textId="77777777" w:rsidR="009C3798" w:rsidRDefault="009C3798" w:rsidP="001A7A4B">
      <w:pPr>
        <w:spacing w:after="0" w:line="240" w:lineRule="auto"/>
      </w:pPr>
      <w:r>
        <w:separator/>
      </w:r>
    </w:p>
  </w:endnote>
  <w:endnote w:type="continuationSeparator" w:id="0">
    <w:p w14:paraId="5BFC8F15" w14:textId="77777777" w:rsidR="009C3798" w:rsidRDefault="009C3798" w:rsidP="001A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DBBF" w14:textId="77777777" w:rsidR="009C3798" w:rsidRDefault="009C3798" w:rsidP="001A7A4B">
      <w:pPr>
        <w:spacing w:after="0" w:line="240" w:lineRule="auto"/>
      </w:pPr>
      <w:r>
        <w:separator/>
      </w:r>
    </w:p>
  </w:footnote>
  <w:footnote w:type="continuationSeparator" w:id="0">
    <w:p w14:paraId="51B284C7" w14:textId="77777777" w:rsidR="009C3798" w:rsidRDefault="009C3798" w:rsidP="001A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19C"/>
    <w:multiLevelType w:val="hybridMultilevel"/>
    <w:tmpl w:val="468E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42D9"/>
    <w:multiLevelType w:val="hybridMultilevel"/>
    <w:tmpl w:val="82E6115A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6DD4"/>
    <w:multiLevelType w:val="hybridMultilevel"/>
    <w:tmpl w:val="DF78BE4A"/>
    <w:lvl w:ilvl="0" w:tplc="2BE68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5AE0"/>
    <w:multiLevelType w:val="hybridMultilevel"/>
    <w:tmpl w:val="274AB446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43BE5"/>
    <w:multiLevelType w:val="hybridMultilevel"/>
    <w:tmpl w:val="E49495CA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F7"/>
    <w:rsid w:val="00052410"/>
    <w:rsid w:val="00095960"/>
    <w:rsid w:val="000E07EA"/>
    <w:rsid w:val="00106612"/>
    <w:rsid w:val="00106F62"/>
    <w:rsid w:val="00166E41"/>
    <w:rsid w:val="00177B2E"/>
    <w:rsid w:val="00190A72"/>
    <w:rsid w:val="001A7A4B"/>
    <w:rsid w:val="001B5422"/>
    <w:rsid w:val="001D6A6B"/>
    <w:rsid w:val="001F0BFC"/>
    <w:rsid w:val="00207745"/>
    <w:rsid w:val="00240D92"/>
    <w:rsid w:val="002D06F7"/>
    <w:rsid w:val="002E3277"/>
    <w:rsid w:val="00301B25"/>
    <w:rsid w:val="003974E3"/>
    <w:rsid w:val="004145DE"/>
    <w:rsid w:val="00420BA6"/>
    <w:rsid w:val="004761B1"/>
    <w:rsid w:val="004B28DF"/>
    <w:rsid w:val="004B79CE"/>
    <w:rsid w:val="004B7A85"/>
    <w:rsid w:val="004E41EE"/>
    <w:rsid w:val="00510525"/>
    <w:rsid w:val="00567C10"/>
    <w:rsid w:val="0059254A"/>
    <w:rsid w:val="005A01F7"/>
    <w:rsid w:val="005B7131"/>
    <w:rsid w:val="005C248D"/>
    <w:rsid w:val="005D01CD"/>
    <w:rsid w:val="00653869"/>
    <w:rsid w:val="00655A09"/>
    <w:rsid w:val="00676BEE"/>
    <w:rsid w:val="006A05F1"/>
    <w:rsid w:val="006A57F7"/>
    <w:rsid w:val="007223E0"/>
    <w:rsid w:val="00744C85"/>
    <w:rsid w:val="00753642"/>
    <w:rsid w:val="00772EB1"/>
    <w:rsid w:val="007E1D4A"/>
    <w:rsid w:val="007F2364"/>
    <w:rsid w:val="00804AC6"/>
    <w:rsid w:val="00830131"/>
    <w:rsid w:val="008326EB"/>
    <w:rsid w:val="00845789"/>
    <w:rsid w:val="0087790D"/>
    <w:rsid w:val="008B1046"/>
    <w:rsid w:val="00903B0D"/>
    <w:rsid w:val="00927954"/>
    <w:rsid w:val="00947376"/>
    <w:rsid w:val="00947D9E"/>
    <w:rsid w:val="009B0389"/>
    <w:rsid w:val="009C22DA"/>
    <w:rsid w:val="009C3798"/>
    <w:rsid w:val="009D649A"/>
    <w:rsid w:val="009E4472"/>
    <w:rsid w:val="009F3B21"/>
    <w:rsid w:val="00A23E6A"/>
    <w:rsid w:val="00A61ED3"/>
    <w:rsid w:val="00A82F33"/>
    <w:rsid w:val="00AB6C77"/>
    <w:rsid w:val="00B2350A"/>
    <w:rsid w:val="00B60C1C"/>
    <w:rsid w:val="00B63424"/>
    <w:rsid w:val="00BA1EA0"/>
    <w:rsid w:val="00BB1B80"/>
    <w:rsid w:val="00BC51AE"/>
    <w:rsid w:val="00BE78E1"/>
    <w:rsid w:val="00C10F9E"/>
    <w:rsid w:val="00C21167"/>
    <w:rsid w:val="00C4421E"/>
    <w:rsid w:val="00C67261"/>
    <w:rsid w:val="00CF41DA"/>
    <w:rsid w:val="00D5026E"/>
    <w:rsid w:val="00D802D9"/>
    <w:rsid w:val="00D93E0C"/>
    <w:rsid w:val="00DE1DFE"/>
    <w:rsid w:val="00E0075F"/>
    <w:rsid w:val="00E23405"/>
    <w:rsid w:val="00E53762"/>
    <w:rsid w:val="00E97364"/>
    <w:rsid w:val="00ED41BB"/>
    <w:rsid w:val="00EE7273"/>
    <w:rsid w:val="00F00751"/>
    <w:rsid w:val="00F05DDD"/>
    <w:rsid w:val="00F7182D"/>
    <w:rsid w:val="00F77E53"/>
    <w:rsid w:val="00FA27CD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69D0"/>
  <w15:docId w15:val="{0BC0FDCA-51CC-4DD1-B28A-300A00C1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3E0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3B0D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619E"/>
    <w:rPr>
      <w:color w:val="0000FF" w:themeColor="hyperlink"/>
      <w:u w:val="single"/>
    </w:rPr>
  </w:style>
  <w:style w:type="paragraph" w:customStyle="1" w:styleId="Default">
    <w:name w:val="Default"/>
    <w:rsid w:val="00FC6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A7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A7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7A4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7A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7A4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A0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27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27C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27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7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09/TSMC.2014.23472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s.metzger@paluno.uni-du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-cube-network.eu/c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09/SRII.2012.4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9727-047D-466C-AB19-4A1473EC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Metzger</dc:creator>
  <cp:lastModifiedBy>Andreas Metzger</cp:lastModifiedBy>
  <cp:revision>32</cp:revision>
  <dcterms:created xsi:type="dcterms:W3CDTF">2015-07-28T12:29:00Z</dcterms:created>
  <dcterms:modified xsi:type="dcterms:W3CDTF">2015-11-09T16:48:00Z</dcterms:modified>
</cp:coreProperties>
</file>