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DE7" w:rsidRPr="00263A66" w:rsidRDefault="00723DC9">
      <w:pPr>
        <w:pStyle w:val="Titel"/>
        <w:rPr>
          <w:lang w:val="en-GB"/>
        </w:rPr>
      </w:pPr>
      <w:r>
        <w:rPr>
          <w:sz w:val="48"/>
          <w:lang w:val="en-GB"/>
        </w:rPr>
        <w:t xml:space="preserve">P3 - </w:t>
      </w:r>
      <w:proofErr w:type="spellStart"/>
      <w:r w:rsidR="00263A66">
        <w:rPr>
          <w:sz w:val="48"/>
          <w:lang w:val="en-GB"/>
        </w:rPr>
        <w:t>Ygg</w:t>
      </w:r>
      <w:proofErr w:type="spellEnd"/>
      <w:r w:rsidR="00263A66">
        <w:rPr>
          <w:sz w:val="48"/>
          <w:lang w:val="en-GB"/>
        </w:rPr>
        <w:t xml:space="preserve">: </w:t>
      </w:r>
      <w:bookmarkStart w:id="0" w:name="_GoBack"/>
      <w:r w:rsidRPr="00723DC9">
        <w:rPr>
          <w:sz w:val="48"/>
          <w:lang w:val="en-GB"/>
        </w:rPr>
        <w:t xml:space="preserve">Capability-driven </w:t>
      </w:r>
      <w:r w:rsidR="00263A66">
        <w:rPr>
          <w:sz w:val="48"/>
          <w:lang w:val="en-GB"/>
        </w:rPr>
        <w:t>Cross-Organizational Business Collaboration</w:t>
      </w:r>
      <w:bookmarkEnd w:id="0"/>
    </w:p>
    <w:p w:rsidR="00C53DE7" w:rsidRDefault="00263A66">
      <w:pPr>
        <w:pStyle w:val="berschrift1"/>
        <w:rPr>
          <w:lang w:val="en-GB"/>
        </w:rPr>
      </w:pPr>
      <w:r>
        <w:rPr>
          <w:lang w:val="en-GB"/>
        </w:rPr>
        <w:t>Summary of the innovation</w:t>
      </w:r>
    </w:p>
    <w:p w:rsidR="00C53DE7" w:rsidRPr="00263A66" w:rsidRDefault="00263A66">
      <w:pPr>
        <w:pStyle w:val="TextBody"/>
        <w:shd w:val="clear" w:color="auto" w:fill="FFFFFF"/>
        <w:spacing w:after="120" w:line="270" w:lineRule="atLeast"/>
        <w:rPr>
          <w:rFonts w:ascii="Arial;sans-serif" w:hAnsi="Arial;sans-serif"/>
          <w:color w:val="333333"/>
          <w:sz w:val="21"/>
          <w:lang w:val="en-GB"/>
        </w:rPr>
      </w:pPr>
      <w:r>
        <w:rPr>
          <w:rFonts w:cs="Arial"/>
          <w:color w:val="444444"/>
          <w:szCs w:val="20"/>
          <w:lang w:val="en-US"/>
        </w:rPr>
        <w:t xml:space="preserve">The core functionality of </w:t>
      </w:r>
      <w:proofErr w:type="spellStart"/>
      <w:r>
        <w:rPr>
          <w:rFonts w:cs="Arial"/>
          <w:color w:val="444444"/>
          <w:szCs w:val="20"/>
          <w:lang w:val="en-US"/>
        </w:rPr>
        <w:t>Ygg</w:t>
      </w:r>
      <w:proofErr w:type="spellEnd"/>
      <w:r>
        <w:rPr>
          <w:rFonts w:cs="Arial"/>
          <w:color w:val="444444"/>
          <w:szCs w:val="20"/>
          <w:lang w:val="en-US"/>
        </w:rPr>
        <w:t xml:space="preserve"> is to facilitate </w:t>
      </w:r>
      <w:proofErr w:type="gramStart"/>
      <w:r>
        <w:rPr>
          <w:rFonts w:cs="Arial"/>
          <w:color w:val="444444"/>
          <w:szCs w:val="20"/>
          <w:lang w:val="en-US"/>
        </w:rPr>
        <w:t>business to business</w:t>
      </w:r>
      <w:proofErr w:type="gramEnd"/>
      <w:r>
        <w:rPr>
          <w:rFonts w:cs="Arial"/>
          <w:color w:val="444444"/>
          <w:szCs w:val="20"/>
          <w:lang w:val="en-US"/>
        </w:rPr>
        <w:t xml:space="preserve"> collaboration. The main way </w:t>
      </w:r>
      <w:proofErr w:type="spellStart"/>
      <w:r>
        <w:rPr>
          <w:rFonts w:cs="Arial"/>
          <w:color w:val="444444"/>
          <w:szCs w:val="20"/>
          <w:lang w:val="en-US"/>
        </w:rPr>
        <w:t>Ygg</w:t>
      </w:r>
      <w:proofErr w:type="spellEnd"/>
      <w:r>
        <w:rPr>
          <w:rFonts w:cs="Arial"/>
          <w:color w:val="444444"/>
          <w:szCs w:val="20"/>
          <w:lang w:val="en-US"/>
        </w:rPr>
        <w:t xml:space="preserve"> supports this is via business processes. Characteristic of these business processes is that they exceed the boundaries of one business. All </w:t>
      </w:r>
      <w:proofErr w:type="spellStart"/>
      <w:r>
        <w:rPr>
          <w:rFonts w:cs="Arial"/>
          <w:color w:val="444444"/>
          <w:szCs w:val="20"/>
          <w:lang w:val="en-US"/>
        </w:rPr>
        <w:t>Ygg</w:t>
      </w:r>
      <w:proofErr w:type="spellEnd"/>
      <w:r>
        <w:rPr>
          <w:rFonts w:cs="Arial"/>
          <w:color w:val="444444"/>
          <w:szCs w:val="20"/>
          <w:lang w:val="en-US"/>
        </w:rPr>
        <w:t xml:space="preserve"> core components are involved in supporting those business processes.</w:t>
      </w:r>
    </w:p>
    <w:p w:rsidR="00C53DE7" w:rsidRDefault="00263A66">
      <w:pPr>
        <w:pStyle w:val="TextBody"/>
        <w:spacing w:before="150" w:after="0" w:line="300" w:lineRule="atLeast"/>
        <w:rPr>
          <w:rFonts w:ascii="Arial;sans-serif" w:hAnsi="Arial;sans-serif"/>
          <w:color w:val="333333"/>
          <w:sz w:val="21"/>
        </w:rPr>
      </w:pPr>
      <w:proofErr w:type="spellStart"/>
      <w:r>
        <w:rPr>
          <w:rFonts w:ascii="Arial;sans-serif" w:hAnsi="Arial;sans-serif"/>
          <w:color w:val="333333"/>
          <w:sz w:val="21"/>
        </w:rPr>
        <w:t>Some</w:t>
      </w:r>
      <w:proofErr w:type="spellEnd"/>
      <w:r>
        <w:rPr>
          <w:rFonts w:ascii="Arial;sans-serif" w:hAnsi="Arial;sans-serif"/>
          <w:color w:val="333333"/>
          <w:sz w:val="21"/>
        </w:rPr>
        <w:t xml:space="preserve"> </w:t>
      </w:r>
      <w:proofErr w:type="spellStart"/>
      <w:r>
        <w:rPr>
          <w:rFonts w:ascii="Arial;sans-serif" w:hAnsi="Arial;sans-serif"/>
          <w:color w:val="333333"/>
          <w:sz w:val="21"/>
        </w:rPr>
        <w:t>examples</w:t>
      </w:r>
      <w:proofErr w:type="spellEnd"/>
      <w:r>
        <w:rPr>
          <w:rFonts w:ascii="Arial;sans-serif" w:hAnsi="Arial;sans-serif"/>
          <w:color w:val="333333"/>
          <w:sz w:val="21"/>
        </w:rPr>
        <w:t>:</w:t>
      </w:r>
    </w:p>
    <w:p w:rsidR="00C53DE7" w:rsidRPr="00263A66" w:rsidRDefault="00263A66">
      <w:pPr>
        <w:pStyle w:val="TextBody"/>
        <w:numPr>
          <w:ilvl w:val="0"/>
          <w:numId w:val="4"/>
        </w:numPr>
        <w:tabs>
          <w:tab w:val="left" w:pos="0"/>
        </w:tabs>
        <w:spacing w:after="150" w:line="300" w:lineRule="atLeast"/>
        <w:rPr>
          <w:rFonts w:ascii="Arial;sans-serif" w:hAnsi="Arial;sans-serif"/>
          <w:color w:val="333333"/>
          <w:sz w:val="21"/>
          <w:lang w:val="en-GB"/>
        </w:rPr>
      </w:pPr>
      <w:r w:rsidRPr="00263A66">
        <w:rPr>
          <w:rFonts w:ascii="Arial;sans-serif" w:hAnsi="Arial;sans-serif"/>
          <w:color w:val="333333"/>
          <w:sz w:val="21"/>
          <w:lang w:val="en-GB"/>
        </w:rPr>
        <w:t xml:space="preserve">A farmer would like to get advice from an external adviser about the most efficient times to spray his crop for protection. The business process of a farmer getting his advice involves two separate business </w:t>
      </w:r>
      <w:proofErr w:type="gramStart"/>
      <w:r w:rsidRPr="00263A66">
        <w:rPr>
          <w:rFonts w:ascii="Arial;sans-serif" w:hAnsi="Arial;sans-serif"/>
          <w:color w:val="333333"/>
          <w:sz w:val="21"/>
          <w:lang w:val="en-GB"/>
        </w:rPr>
        <w:t>premises which</w:t>
      </w:r>
      <w:proofErr w:type="gramEnd"/>
      <w:r w:rsidRPr="00263A66">
        <w:rPr>
          <w:rFonts w:ascii="Arial;sans-serif" w:hAnsi="Arial;sans-serif"/>
          <w:color w:val="333333"/>
          <w:sz w:val="21"/>
          <w:lang w:val="en-GB"/>
        </w:rPr>
        <w:t xml:space="preserve"> interact with each other to get what they need in order to provide the service. The farmer asks for the advice and exposes some information about his field and crop so the adviser can retrieve them to give a proper advice to the farmer</w:t>
      </w:r>
    </w:p>
    <w:p w:rsidR="00C53DE7" w:rsidRPr="00263A66" w:rsidRDefault="00263A66">
      <w:pPr>
        <w:pStyle w:val="TextBody"/>
        <w:numPr>
          <w:ilvl w:val="0"/>
          <w:numId w:val="4"/>
        </w:numPr>
        <w:tabs>
          <w:tab w:val="left" w:pos="0"/>
        </w:tabs>
        <w:spacing w:after="150" w:line="300" w:lineRule="atLeast"/>
        <w:rPr>
          <w:rFonts w:ascii="Arial;sans-serif" w:hAnsi="Arial;sans-serif"/>
          <w:color w:val="333333"/>
          <w:sz w:val="21"/>
          <w:lang w:val="en-GB"/>
        </w:rPr>
      </w:pPr>
      <w:r w:rsidRPr="00263A66">
        <w:rPr>
          <w:rFonts w:ascii="Arial;sans-serif" w:hAnsi="Arial;sans-serif"/>
          <w:color w:val="333333"/>
          <w:sz w:val="21"/>
          <w:lang w:val="en-GB"/>
        </w:rPr>
        <w:t>An assembly factory orders some rough materials from another factory and asks a logistics provider to facilitate the transport. Placing the order, providing the logistics provider with the proper information all exceeds the boundaries of one business.</w:t>
      </w:r>
    </w:p>
    <w:p w:rsidR="00C53DE7" w:rsidRPr="00263A66" w:rsidRDefault="00263A66">
      <w:pPr>
        <w:pStyle w:val="TextBody"/>
        <w:spacing w:before="150" w:after="0" w:line="300" w:lineRule="atLeast"/>
        <w:rPr>
          <w:lang w:val="en-GB"/>
        </w:rPr>
      </w:pPr>
      <w:r w:rsidRPr="00263A66">
        <w:rPr>
          <w:rFonts w:ascii="Arial;sans-serif" w:hAnsi="Arial;sans-serif"/>
          <w:color w:val="333333"/>
          <w:sz w:val="21"/>
          <w:lang w:val="en-GB"/>
        </w:rPr>
        <w:t xml:space="preserve">A business process in </w:t>
      </w:r>
      <w:proofErr w:type="spellStart"/>
      <w:r w:rsidRPr="00263A66">
        <w:rPr>
          <w:rFonts w:ascii="Arial;sans-serif" w:hAnsi="Arial;sans-serif"/>
          <w:color w:val="333333"/>
          <w:sz w:val="21"/>
          <w:lang w:val="en-GB"/>
        </w:rPr>
        <w:t>Ygg</w:t>
      </w:r>
      <w:proofErr w:type="spellEnd"/>
      <w:r w:rsidRPr="00263A66">
        <w:rPr>
          <w:rFonts w:ascii="Arial;sans-serif" w:hAnsi="Arial;sans-serif"/>
          <w:color w:val="333333"/>
          <w:sz w:val="21"/>
          <w:lang w:val="en-GB"/>
        </w:rPr>
        <w:t xml:space="preserve"> is implicit. This means you </w:t>
      </w:r>
      <w:proofErr w:type="gramStart"/>
      <w:r w:rsidRPr="00263A66">
        <w:rPr>
          <w:rFonts w:ascii="Arial;sans-serif" w:hAnsi="Arial;sans-serif"/>
          <w:color w:val="333333"/>
          <w:sz w:val="21"/>
          <w:lang w:val="en-GB"/>
        </w:rPr>
        <w:t>don't</w:t>
      </w:r>
      <w:proofErr w:type="gramEnd"/>
      <w:r w:rsidRPr="00263A66">
        <w:rPr>
          <w:rFonts w:ascii="Arial;sans-serif" w:hAnsi="Arial;sans-serif"/>
          <w:color w:val="333333"/>
          <w:sz w:val="21"/>
          <w:lang w:val="en-GB"/>
        </w:rPr>
        <w:t xml:space="preserve"> have to define or describe one explicitly. Using the examples, the adviser only has to define in </w:t>
      </w:r>
      <w:proofErr w:type="spellStart"/>
      <w:r w:rsidRPr="00263A66">
        <w:rPr>
          <w:rFonts w:ascii="Arial;sans-serif" w:hAnsi="Arial;sans-serif"/>
          <w:color w:val="333333"/>
          <w:sz w:val="21"/>
          <w:lang w:val="en-GB"/>
        </w:rPr>
        <w:t>Ygg</w:t>
      </w:r>
      <w:proofErr w:type="spellEnd"/>
      <w:r w:rsidRPr="00263A66">
        <w:rPr>
          <w:rFonts w:ascii="Arial;sans-serif" w:hAnsi="Arial;sans-serif"/>
          <w:color w:val="333333"/>
          <w:sz w:val="21"/>
          <w:lang w:val="en-GB"/>
        </w:rPr>
        <w:t xml:space="preserve"> that he is </w:t>
      </w:r>
      <w:r w:rsidRPr="00263A66">
        <w:rPr>
          <w:rStyle w:val="Hervorhebung"/>
          <w:rFonts w:ascii="Arial;sans-serif" w:hAnsi="Arial;sans-serif"/>
          <w:i w:val="0"/>
          <w:color w:val="333333"/>
          <w:sz w:val="21"/>
          <w:lang w:val="en-GB"/>
        </w:rPr>
        <w:t>capable</w:t>
      </w:r>
      <w:r w:rsidRPr="00263A66">
        <w:rPr>
          <w:rFonts w:ascii="Arial;sans-serif" w:hAnsi="Arial;sans-serif"/>
          <w:color w:val="333333"/>
          <w:sz w:val="21"/>
          <w:lang w:val="en-GB"/>
        </w:rPr>
        <w:t xml:space="preserve"> of providing an advice. The farmer can then in </w:t>
      </w:r>
      <w:proofErr w:type="spellStart"/>
      <w:proofErr w:type="gramStart"/>
      <w:r w:rsidRPr="00263A66">
        <w:rPr>
          <w:rFonts w:ascii="Arial;sans-serif" w:hAnsi="Arial;sans-serif"/>
          <w:color w:val="333333"/>
          <w:sz w:val="21"/>
          <w:lang w:val="en-GB"/>
        </w:rPr>
        <w:t>it's</w:t>
      </w:r>
      <w:proofErr w:type="spellEnd"/>
      <w:proofErr w:type="gramEnd"/>
      <w:r w:rsidRPr="00263A66">
        <w:rPr>
          <w:rFonts w:ascii="Arial;sans-serif" w:hAnsi="Arial;sans-serif"/>
          <w:color w:val="333333"/>
          <w:sz w:val="21"/>
          <w:lang w:val="en-GB"/>
        </w:rPr>
        <w:t xml:space="preserve"> turn use this</w:t>
      </w:r>
      <w:r>
        <w:rPr>
          <w:rFonts w:ascii="Arial;sans-serif" w:hAnsi="Arial;sans-serif"/>
          <w:color w:val="333333"/>
          <w:sz w:val="21"/>
          <w:lang w:val="en-GB"/>
        </w:rPr>
        <w:t xml:space="preserve"> </w:t>
      </w:r>
      <w:r w:rsidRPr="00263A66">
        <w:rPr>
          <w:rStyle w:val="Hervorhebung"/>
          <w:rFonts w:ascii="Arial;sans-serif" w:hAnsi="Arial;sans-serif"/>
          <w:i w:val="0"/>
          <w:color w:val="333333"/>
          <w:sz w:val="21"/>
          <w:lang w:val="en-GB"/>
        </w:rPr>
        <w:t>capability</w:t>
      </w:r>
      <w:r w:rsidRPr="00263A66">
        <w:rPr>
          <w:rFonts w:ascii="Arial;sans-serif" w:hAnsi="Arial;sans-serif"/>
          <w:color w:val="333333"/>
          <w:sz w:val="21"/>
          <w:lang w:val="en-GB"/>
        </w:rPr>
        <w:t>. This introduces the concept of </w:t>
      </w:r>
      <w:r w:rsidRPr="00263A66">
        <w:rPr>
          <w:rStyle w:val="Hervorhebung"/>
          <w:rFonts w:ascii="Arial;sans-serif" w:hAnsi="Arial;sans-serif"/>
          <w:i w:val="0"/>
          <w:color w:val="333333"/>
          <w:sz w:val="21"/>
          <w:lang w:val="en-GB"/>
        </w:rPr>
        <w:t>capability</w:t>
      </w:r>
      <w:r w:rsidRPr="00263A66">
        <w:rPr>
          <w:rFonts w:ascii="Arial;sans-serif" w:hAnsi="Arial;sans-serif"/>
          <w:color w:val="333333"/>
          <w:sz w:val="21"/>
          <w:lang w:val="en-GB"/>
        </w:rPr>
        <w:t>.</w:t>
      </w:r>
    </w:p>
    <w:p w:rsidR="00C53DE7" w:rsidRPr="00263A66" w:rsidRDefault="00263A66">
      <w:pPr>
        <w:pStyle w:val="TextBody"/>
        <w:spacing w:before="150" w:after="0" w:line="300" w:lineRule="atLeast"/>
        <w:rPr>
          <w:lang w:val="en-GB"/>
        </w:rPr>
      </w:pPr>
      <w:r w:rsidRPr="00263A66">
        <w:rPr>
          <w:rFonts w:ascii="Arial;sans-serif" w:hAnsi="Arial;sans-serif"/>
          <w:color w:val="333333"/>
          <w:sz w:val="21"/>
          <w:lang w:val="en-GB"/>
        </w:rPr>
        <w:t xml:space="preserve">For the farmer it would be very helpful if all capabilities providing similar services would look the same. That way the farmer would be able to switch from one adviser to the other without making </w:t>
      </w:r>
      <w:proofErr w:type="gramStart"/>
      <w:r w:rsidRPr="00263A66">
        <w:rPr>
          <w:rFonts w:ascii="Arial;sans-serif" w:hAnsi="Arial;sans-serif"/>
          <w:color w:val="333333"/>
          <w:sz w:val="21"/>
          <w:lang w:val="en-GB"/>
        </w:rPr>
        <w:t>a lot of</w:t>
      </w:r>
      <w:proofErr w:type="gramEnd"/>
      <w:r w:rsidRPr="00263A66">
        <w:rPr>
          <w:rFonts w:ascii="Arial;sans-serif" w:hAnsi="Arial;sans-serif"/>
          <w:color w:val="333333"/>
          <w:sz w:val="21"/>
          <w:lang w:val="en-GB"/>
        </w:rPr>
        <w:t xml:space="preserve"> adjustments in his software. For this </w:t>
      </w:r>
      <w:proofErr w:type="gramStart"/>
      <w:r w:rsidRPr="00263A66">
        <w:rPr>
          <w:rFonts w:ascii="Arial;sans-serif" w:hAnsi="Arial;sans-serif"/>
          <w:color w:val="333333"/>
          <w:sz w:val="21"/>
          <w:lang w:val="en-GB"/>
        </w:rPr>
        <w:t>reason</w:t>
      </w:r>
      <w:proofErr w:type="gramEnd"/>
      <w:r w:rsidRPr="00263A66">
        <w:rPr>
          <w:rFonts w:ascii="Arial;sans-serif" w:hAnsi="Arial;sans-serif"/>
          <w:color w:val="333333"/>
          <w:sz w:val="21"/>
          <w:lang w:val="en-GB"/>
        </w:rPr>
        <w:t xml:space="preserve"> </w:t>
      </w:r>
      <w:proofErr w:type="spellStart"/>
      <w:r w:rsidRPr="00263A66">
        <w:rPr>
          <w:rFonts w:ascii="Arial;sans-serif" w:hAnsi="Arial;sans-serif"/>
          <w:color w:val="333333"/>
          <w:sz w:val="21"/>
          <w:lang w:val="en-GB"/>
        </w:rPr>
        <w:t>Ygg</w:t>
      </w:r>
      <w:proofErr w:type="spellEnd"/>
      <w:r w:rsidRPr="00263A66">
        <w:rPr>
          <w:rFonts w:ascii="Arial;sans-serif" w:hAnsi="Arial;sans-serif"/>
          <w:color w:val="333333"/>
          <w:sz w:val="21"/>
          <w:lang w:val="en-GB"/>
        </w:rPr>
        <w:t xml:space="preserve"> contains a registry with defined </w:t>
      </w:r>
      <w:r w:rsidRPr="00263A66">
        <w:rPr>
          <w:rStyle w:val="Hervorhebung"/>
          <w:rFonts w:ascii="Arial;sans-serif" w:hAnsi="Arial;sans-serif"/>
          <w:i w:val="0"/>
          <w:color w:val="333333"/>
          <w:sz w:val="21"/>
          <w:lang w:val="en-GB"/>
        </w:rPr>
        <w:t>capability types</w:t>
      </w:r>
      <w:r w:rsidRPr="00263A66">
        <w:rPr>
          <w:rFonts w:ascii="Arial;sans-serif" w:hAnsi="Arial;sans-serif"/>
          <w:color w:val="333333"/>
          <w:sz w:val="21"/>
          <w:lang w:val="en-GB"/>
        </w:rPr>
        <w:t>.</w:t>
      </w:r>
    </w:p>
    <w:p w:rsidR="00C53DE7" w:rsidRDefault="00C53DE7">
      <w:pPr>
        <w:pStyle w:val="StandardWeb"/>
        <w:shd w:val="clear" w:color="auto" w:fill="FFFFFF"/>
        <w:spacing w:after="120" w:line="270" w:lineRule="atLeast"/>
        <w:rPr>
          <w:rFonts w:asciiTheme="minorHAnsi" w:hAnsiTheme="minorHAnsi" w:cs="Arial"/>
          <w:color w:val="444444"/>
          <w:sz w:val="20"/>
          <w:szCs w:val="20"/>
          <w:lang w:val="en-US"/>
        </w:rPr>
      </w:pPr>
    </w:p>
    <w:p w:rsidR="00C53DE7" w:rsidRDefault="00263A66">
      <w:pPr>
        <w:pStyle w:val="berschrift1"/>
        <w:rPr>
          <w:lang w:val="en-GB"/>
        </w:rPr>
      </w:pPr>
      <w:r>
        <w:rPr>
          <w:lang w:val="en-GB"/>
        </w:rPr>
        <w:t xml:space="preserve">Key features / capabilities </w:t>
      </w:r>
    </w:p>
    <w:p w:rsidR="00C53DE7" w:rsidRDefault="00263A66">
      <w:pPr>
        <w:pStyle w:val="Listenabsatz"/>
        <w:numPr>
          <w:ilvl w:val="0"/>
          <w:numId w:val="2"/>
        </w:numPr>
      </w:pPr>
      <w:r>
        <w:rPr>
          <w:szCs w:val="20"/>
          <w:lang w:val="en-GB"/>
        </w:rPr>
        <w:t>Connecting service endpoints (capabilities)</w:t>
      </w:r>
    </w:p>
    <w:p w:rsidR="00C53DE7" w:rsidRPr="00263A66" w:rsidRDefault="00263A66">
      <w:pPr>
        <w:pStyle w:val="Listenabsatz"/>
        <w:numPr>
          <w:ilvl w:val="0"/>
          <w:numId w:val="2"/>
        </w:numPr>
        <w:rPr>
          <w:lang w:val="en-GB"/>
        </w:rPr>
      </w:pPr>
      <w:r>
        <w:rPr>
          <w:szCs w:val="20"/>
          <w:lang w:val="en-GB"/>
        </w:rPr>
        <w:t xml:space="preserve">Scalable </w:t>
      </w:r>
      <w:proofErr w:type="spellStart"/>
      <w:r>
        <w:rPr>
          <w:szCs w:val="20"/>
          <w:lang w:val="en-GB"/>
        </w:rPr>
        <w:t>microservice</w:t>
      </w:r>
      <w:proofErr w:type="spellEnd"/>
      <w:r>
        <w:rPr>
          <w:szCs w:val="20"/>
          <w:lang w:val="en-GB"/>
        </w:rPr>
        <w:t xml:space="preserve"> architecture connecting multiple service clouds</w:t>
      </w:r>
    </w:p>
    <w:p w:rsidR="00C53DE7" w:rsidRDefault="00C53DE7">
      <w:pPr>
        <w:pStyle w:val="Listenabsatz"/>
        <w:ind w:left="0"/>
        <w:rPr>
          <w:szCs w:val="20"/>
          <w:lang w:val="en-GB"/>
        </w:rPr>
      </w:pPr>
    </w:p>
    <w:p w:rsidR="00C53DE7" w:rsidRDefault="00263A66">
      <w:pPr>
        <w:pStyle w:val="berschrift1"/>
        <w:rPr>
          <w:lang w:val="en-GB"/>
        </w:rPr>
      </w:pPr>
      <w:r>
        <w:rPr>
          <w:lang w:val="en-GB"/>
        </w:rPr>
        <w:t xml:space="preserve">Maturity level (TRL - Technology Readiness Level) </w:t>
      </w:r>
    </w:p>
    <w:p w:rsidR="00C53DE7" w:rsidRDefault="00263A66">
      <w:pPr>
        <w:pStyle w:val="Listenabsatz"/>
        <w:numPr>
          <w:ilvl w:val="0"/>
          <w:numId w:val="1"/>
        </w:numPr>
        <w:rPr>
          <w:lang w:val="en-GB"/>
        </w:rPr>
      </w:pPr>
      <w:r>
        <w:rPr>
          <w:lang w:val="en-GB"/>
        </w:rPr>
        <w:t xml:space="preserve">TRL 6 – technology demonstrated in relevant environment (industrially relevant environment in the case of key enabling technologies) </w:t>
      </w:r>
    </w:p>
    <w:p w:rsidR="00C53DE7" w:rsidRDefault="00263A66">
      <w:pPr>
        <w:pStyle w:val="berschrift1"/>
        <w:rPr>
          <w:lang w:val="en-GB"/>
        </w:rPr>
      </w:pPr>
      <w:r>
        <w:rPr>
          <w:lang w:val="en-GB"/>
        </w:rPr>
        <w:t xml:space="preserve">Availability </w:t>
      </w:r>
    </w:p>
    <w:p w:rsidR="00C53DE7" w:rsidRDefault="00263A66">
      <w:pPr>
        <w:pStyle w:val="Listenabsatz"/>
        <w:numPr>
          <w:ilvl w:val="0"/>
          <w:numId w:val="1"/>
        </w:numPr>
      </w:pPr>
      <w:r>
        <w:rPr>
          <w:lang w:val="en-GB"/>
        </w:rPr>
        <w:t xml:space="preserve">Online documentation: </w:t>
      </w:r>
      <w:hyperlink r:id="rId6">
        <w:r>
          <w:rPr>
            <w:rStyle w:val="InternetLink"/>
            <w:lang w:val="en-GB"/>
          </w:rPr>
          <w:t>https://bitbucket.org/limetri/ygg/wiki/CapabilityModel</w:t>
        </w:r>
      </w:hyperlink>
    </w:p>
    <w:p w:rsidR="00C53DE7" w:rsidRPr="00263A66" w:rsidRDefault="00263A66">
      <w:pPr>
        <w:pStyle w:val="Listenabsatz"/>
        <w:numPr>
          <w:ilvl w:val="0"/>
          <w:numId w:val="1"/>
        </w:numPr>
        <w:rPr>
          <w:lang w:val="en-GB"/>
        </w:rPr>
      </w:pPr>
      <w:r>
        <w:rPr>
          <w:lang w:val="en-GB"/>
        </w:rPr>
        <w:t xml:space="preserve">Source code available </w:t>
      </w:r>
      <w:hyperlink r:id="rId7">
        <w:r>
          <w:rPr>
            <w:rStyle w:val="InternetLink"/>
            <w:lang w:val="en-GB"/>
          </w:rPr>
          <w:t>https://bitbucket.org/limetri/ygg</w:t>
        </w:r>
      </w:hyperlink>
    </w:p>
    <w:p w:rsidR="00C53DE7" w:rsidRPr="00263A66" w:rsidRDefault="00263A66">
      <w:pPr>
        <w:pStyle w:val="Listenabsatz"/>
        <w:numPr>
          <w:ilvl w:val="0"/>
          <w:numId w:val="1"/>
        </w:numPr>
        <w:rPr>
          <w:lang w:val="en-GB"/>
        </w:rPr>
      </w:pPr>
      <w:r>
        <w:rPr>
          <w:lang w:val="en-GB"/>
        </w:rPr>
        <w:t xml:space="preserve">public instance running as part of </w:t>
      </w:r>
      <w:proofErr w:type="spellStart"/>
      <w:r>
        <w:rPr>
          <w:lang w:val="en-GB"/>
        </w:rPr>
        <w:t>Fispace</w:t>
      </w:r>
      <w:proofErr w:type="spellEnd"/>
      <w:r>
        <w:rPr>
          <w:lang w:val="en-GB"/>
        </w:rPr>
        <w:t xml:space="preserve"> SDI (EE) </w:t>
      </w:r>
    </w:p>
    <w:p w:rsidR="00C53DE7" w:rsidRDefault="00263A66">
      <w:pPr>
        <w:pStyle w:val="berschrift1"/>
        <w:rPr>
          <w:lang w:val="en-GB"/>
        </w:rPr>
      </w:pPr>
      <w:r>
        <w:rPr>
          <w:lang w:val="en-GB"/>
        </w:rPr>
        <w:t>Licensing</w:t>
      </w:r>
    </w:p>
    <w:p w:rsidR="00C53DE7" w:rsidRDefault="00263A66">
      <w:pPr>
        <w:pStyle w:val="Listenabsatz"/>
        <w:numPr>
          <w:ilvl w:val="0"/>
          <w:numId w:val="1"/>
        </w:numPr>
      </w:pPr>
      <w:r>
        <w:rPr>
          <w:lang w:val="en-GB"/>
        </w:rPr>
        <w:t>GPL V3.0</w:t>
      </w:r>
    </w:p>
    <w:p w:rsidR="00C53DE7" w:rsidRDefault="00C53DE7">
      <w:pPr>
        <w:pStyle w:val="Listenabsatz"/>
        <w:rPr>
          <w:lang w:val="en-GB"/>
        </w:rPr>
      </w:pPr>
    </w:p>
    <w:p w:rsidR="00C53DE7" w:rsidRDefault="00263A66">
      <w:pPr>
        <w:pStyle w:val="berschrift1"/>
        <w:rPr>
          <w:lang w:val="en-GB"/>
        </w:rPr>
      </w:pPr>
      <w:r>
        <w:rPr>
          <w:lang w:val="en-GB"/>
        </w:rPr>
        <w:t>FIspace partner(s) that own innovation &amp; contact points</w:t>
      </w:r>
    </w:p>
    <w:p w:rsidR="00C53DE7" w:rsidRDefault="00263A66">
      <w:pPr>
        <w:pStyle w:val="Listenabsatz"/>
        <w:numPr>
          <w:ilvl w:val="0"/>
          <w:numId w:val="3"/>
        </w:numPr>
      </w:pPr>
      <w:proofErr w:type="spellStart"/>
      <w:r>
        <w:rPr>
          <w:szCs w:val="20"/>
          <w:lang w:val="en-GB"/>
        </w:rPr>
        <w:t>LimeTri</w:t>
      </w:r>
      <w:proofErr w:type="spellEnd"/>
      <w:r>
        <w:rPr>
          <w:szCs w:val="20"/>
          <w:lang w:val="en-GB"/>
        </w:rPr>
        <w:t xml:space="preserve"> (info@limetri.eu)</w:t>
      </w:r>
    </w:p>
    <w:p w:rsidR="00C53DE7" w:rsidRDefault="00C53DE7"/>
    <w:sectPr w:rsidR="00C53DE7">
      <w:pgSz w:w="11906" w:h="16838"/>
      <w:pgMar w:top="1417" w:right="1417" w:bottom="1134" w:left="1417"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sans-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96897"/>
    <w:multiLevelType w:val="multilevel"/>
    <w:tmpl w:val="6A4C70F2"/>
    <w:lvl w:ilvl="0">
      <w:start w:val="1"/>
      <w:numFmt w:val="bullet"/>
      <w:suff w:val="nothing"/>
      <w:lvlText w:val=""/>
      <w:lvlJc w:val="left"/>
      <w:pPr>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15:restartNumberingAfterBreak="0">
    <w:nsid w:val="23547CEB"/>
    <w:multiLevelType w:val="multilevel"/>
    <w:tmpl w:val="4DBA4B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ED72971"/>
    <w:multiLevelType w:val="multilevel"/>
    <w:tmpl w:val="19E842A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3FC65652"/>
    <w:multiLevelType w:val="multilevel"/>
    <w:tmpl w:val="9378C5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7FB3645"/>
    <w:multiLevelType w:val="multilevel"/>
    <w:tmpl w:val="7AB023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E7"/>
    <w:rsid w:val="00263A66"/>
    <w:rsid w:val="00723DC9"/>
    <w:rsid w:val="00C53DE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6EF2E-B7B1-4D74-BC7B-8C21DFEB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4B18"/>
    <w:pPr>
      <w:suppressAutoHyphens/>
      <w:spacing w:after="120" w:line="270" w:lineRule="atLeast"/>
    </w:pPr>
  </w:style>
  <w:style w:type="paragraph" w:styleId="berschrift1">
    <w:name w:val="heading 1"/>
    <w:basedOn w:val="Standard"/>
    <w:link w:val="berschrift1Zchn"/>
    <w:uiPriority w:val="9"/>
    <w:qFormat/>
    <w:rsid w:val="00903B0D"/>
    <w:pPr>
      <w:keepNext/>
      <w:keepLines/>
      <w:spacing w:before="20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uiPriority w:val="99"/>
    <w:unhideWhenUsed/>
    <w:rsid w:val="00FC619E"/>
    <w:rPr>
      <w:color w:val="0000FF" w:themeColor="hyperlink"/>
      <w:u w:val="single"/>
    </w:rPr>
  </w:style>
  <w:style w:type="character" w:customStyle="1" w:styleId="TitelZchn">
    <w:name w:val="Titel Zchn"/>
    <w:basedOn w:val="Absatz-Standardschriftart"/>
    <w:link w:val="Titel"/>
    <w:uiPriority w:val="10"/>
    <w:qFormat/>
    <w:rsid w:val="001A7A4B"/>
    <w:rPr>
      <w:rFonts w:asciiTheme="majorHAnsi" w:eastAsiaTheme="majorEastAsia" w:hAnsiTheme="majorHAnsi" w:cstheme="majorBidi"/>
      <w:color w:val="17365D" w:themeColor="text2" w:themeShade="BF"/>
      <w:spacing w:val="5"/>
      <w:sz w:val="52"/>
      <w:szCs w:val="52"/>
    </w:rPr>
  </w:style>
  <w:style w:type="character" w:customStyle="1" w:styleId="berschrift1Zchn">
    <w:name w:val="Überschrift 1 Zchn"/>
    <w:basedOn w:val="Absatz-Standardschriftart"/>
    <w:link w:val="berschrift1"/>
    <w:uiPriority w:val="9"/>
    <w:qFormat/>
    <w:rsid w:val="00903B0D"/>
    <w:rPr>
      <w:rFonts w:asciiTheme="majorHAnsi" w:eastAsiaTheme="majorEastAsia" w:hAnsiTheme="majorHAnsi" w:cstheme="majorBidi"/>
      <w:b/>
      <w:bCs/>
      <w:color w:val="365F91" w:themeColor="accent1" w:themeShade="BF"/>
      <w:sz w:val="28"/>
      <w:szCs w:val="28"/>
    </w:rPr>
  </w:style>
  <w:style w:type="character" w:customStyle="1" w:styleId="FunotentextZchn">
    <w:name w:val="Fußnotentext Zchn"/>
    <w:basedOn w:val="Absatz-Standardschriftart"/>
    <w:link w:val="Funotentext"/>
    <w:uiPriority w:val="99"/>
    <w:semiHidden/>
    <w:qFormat/>
    <w:rsid w:val="001A7A4B"/>
    <w:rPr>
      <w:sz w:val="20"/>
      <w:szCs w:val="20"/>
    </w:rPr>
  </w:style>
  <w:style w:type="character" w:styleId="Funotenzeichen">
    <w:name w:val="footnote reference"/>
    <w:basedOn w:val="Absatz-Standardschriftart"/>
    <w:uiPriority w:val="99"/>
    <w:semiHidden/>
    <w:unhideWhenUsed/>
    <w:qFormat/>
    <w:rsid w:val="001A7A4B"/>
    <w:rPr>
      <w:vertAlign w:val="superscript"/>
    </w:rPr>
  </w:style>
  <w:style w:type="character" w:customStyle="1" w:styleId="SprechblasentextZchn">
    <w:name w:val="Sprechblasentext Zchn"/>
    <w:basedOn w:val="Absatz-Standardschriftart"/>
    <w:link w:val="Sprechblasentext"/>
    <w:uiPriority w:val="99"/>
    <w:semiHidden/>
    <w:qFormat/>
    <w:rsid w:val="00655A09"/>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Bullets">
    <w:name w:val="Bullets"/>
    <w:qFormat/>
    <w:rPr>
      <w:rFonts w:ascii="OpenSymbol" w:eastAsia="OpenSymbol" w:hAnsi="OpenSymbol" w:cs="OpenSymbol"/>
    </w:rPr>
  </w:style>
  <w:style w:type="character" w:styleId="Hervorhebung">
    <w:name w:val="Emphasis"/>
    <w:qFormat/>
    <w:rPr>
      <w:i/>
      <w:iCs/>
    </w:rPr>
  </w:style>
  <w:style w:type="paragraph" w:customStyle="1" w:styleId="Heading">
    <w:name w:val="Heading"/>
    <w:basedOn w:val="Standard"/>
    <w:next w:val="TextBody"/>
    <w:qFormat/>
    <w:pPr>
      <w:keepNext/>
      <w:spacing w:before="24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FreeSans"/>
    </w:rPr>
  </w:style>
  <w:style w:type="paragraph" w:styleId="Beschriftung">
    <w:name w:val="caption"/>
    <w:basedOn w:val="Standard"/>
    <w:qFormat/>
    <w:pPr>
      <w:suppressLineNumbers/>
      <w:spacing w:before="120"/>
    </w:pPr>
    <w:rPr>
      <w:rFonts w:cs="FreeSans"/>
      <w:i/>
      <w:iCs/>
      <w:sz w:val="24"/>
      <w:szCs w:val="24"/>
    </w:rPr>
  </w:style>
  <w:style w:type="paragraph" w:customStyle="1" w:styleId="Index">
    <w:name w:val="Index"/>
    <w:basedOn w:val="Standard"/>
    <w:qFormat/>
    <w:pPr>
      <w:suppressLineNumbers/>
    </w:pPr>
    <w:rPr>
      <w:rFonts w:cs="FreeSans"/>
    </w:rPr>
  </w:style>
  <w:style w:type="paragraph" w:styleId="Listenabsatz">
    <w:name w:val="List Paragraph"/>
    <w:basedOn w:val="Standard"/>
    <w:uiPriority w:val="34"/>
    <w:qFormat/>
    <w:rsid w:val="00E97364"/>
    <w:pPr>
      <w:ind w:left="720"/>
      <w:contextualSpacing/>
    </w:pPr>
  </w:style>
  <w:style w:type="paragraph" w:customStyle="1" w:styleId="Default">
    <w:name w:val="Default"/>
    <w:qFormat/>
    <w:rsid w:val="00FC619E"/>
    <w:pPr>
      <w:suppressAutoHyphens/>
    </w:pPr>
    <w:rPr>
      <w:rFonts w:ascii="Times New Roman" w:eastAsia="Calibri" w:hAnsi="Times New Roman" w:cs="Times New Roman"/>
      <w:color w:val="000000"/>
      <w:sz w:val="24"/>
      <w:szCs w:val="24"/>
    </w:rPr>
  </w:style>
  <w:style w:type="paragraph" w:styleId="Titel">
    <w:name w:val="Title"/>
    <w:basedOn w:val="Standard"/>
    <w:link w:val="TitelZchn"/>
    <w:uiPriority w:val="10"/>
    <w:qFormat/>
    <w:rsid w:val="001A7A4B"/>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Funotentext">
    <w:name w:val="footnote text"/>
    <w:basedOn w:val="Standard"/>
    <w:link w:val="FunotentextZchn"/>
    <w:uiPriority w:val="99"/>
    <w:semiHidden/>
    <w:unhideWhenUsed/>
    <w:qFormat/>
    <w:rsid w:val="001A7A4B"/>
    <w:pPr>
      <w:spacing w:after="0" w:line="240" w:lineRule="auto"/>
    </w:pPr>
    <w:rPr>
      <w:szCs w:val="20"/>
    </w:rPr>
  </w:style>
  <w:style w:type="paragraph" w:styleId="Sprechblasentext">
    <w:name w:val="Balloon Text"/>
    <w:basedOn w:val="Standard"/>
    <w:link w:val="SprechblasentextZchn"/>
    <w:uiPriority w:val="99"/>
    <w:semiHidden/>
    <w:unhideWhenUsed/>
    <w:qFormat/>
    <w:rsid w:val="00655A09"/>
    <w:pPr>
      <w:spacing w:after="0" w:line="240" w:lineRule="auto"/>
    </w:pPr>
    <w:rPr>
      <w:rFonts w:ascii="Tahoma" w:hAnsi="Tahoma" w:cs="Tahoma"/>
      <w:sz w:val="16"/>
      <w:szCs w:val="16"/>
    </w:rPr>
  </w:style>
  <w:style w:type="paragraph" w:styleId="StandardWeb">
    <w:name w:val="Normal (Web)"/>
    <w:basedOn w:val="Standard"/>
    <w:uiPriority w:val="99"/>
    <w:semiHidden/>
    <w:unhideWhenUsed/>
    <w:qFormat/>
    <w:rsid w:val="00733FD6"/>
    <w:pPr>
      <w:spacing w:after="270"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itbucket.org/limetri/yg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tbucket.org/limetri/ygg/wiki/CapabilityMode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C7A32-97A7-48D3-9979-730BC43E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2161</Characters>
  <Application>Microsoft Office Word</Application>
  <DocSecurity>0</DocSecurity>
  <Lines>18</Lines>
  <Paragraphs>4</Paragraphs>
  <ScaleCrop>false</ScaleCrop>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Metzger</dc:creator>
  <cp:lastModifiedBy>Andreas Metzger</cp:lastModifiedBy>
  <cp:revision>6</cp:revision>
  <dcterms:created xsi:type="dcterms:W3CDTF">2015-07-29T08:40:00Z</dcterms:created>
  <dcterms:modified xsi:type="dcterms:W3CDTF">2015-11-09T16:43:00Z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