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77" w:rsidRDefault="00066060" w:rsidP="007F47EF">
      <w:pPr>
        <w:pStyle w:val="Titel"/>
        <w:rPr>
          <w:sz w:val="48"/>
          <w:lang w:val="en-GB"/>
        </w:rPr>
      </w:pPr>
      <w:r>
        <w:rPr>
          <w:sz w:val="48"/>
          <w:lang w:val="en-GB"/>
        </w:rPr>
        <w:t xml:space="preserve">A11 - </w:t>
      </w:r>
      <w:bookmarkStart w:id="0" w:name="_GoBack"/>
      <w:bookmarkEnd w:id="0"/>
      <w:r w:rsidR="00B92B77">
        <w:rPr>
          <w:sz w:val="48"/>
          <w:lang w:val="en-GB"/>
        </w:rPr>
        <w:t>Product: PI</w:t>
      </w:r>
      <w:r w:rsidR="005C73E0">
        <w:rPr>
          <w:sz w:val="48"/>
          <w:lang w:val="en-GB"/>
        </w:rPr>
        <w:t>A (Product Information App)</w:t>
      </w:r>
    </w:p>
    <w:p w:rsidR="007F47EF" w:rsidRDefault="007F47EF" w:rsidP="007F47EF">
      <w:pPr>
        <w:pStyle w:val="berschrift1"/>
        <w:rPr>
          <w:lang w:val="en-GB"/>
        </w:rPr>
      </w:pPr>
      <w:r w:rsidRPr="00E97364">
        <w:rPr>
          <w:lang w:val="en-GB"/>
        </w:rPr>
        <w:t xml:space="preserve">Summary of the innovation </w:t>
      </w:r>
    </w:p>
    <w:p w:rsidR="00B92B77" w:rsidRDefault="00B92B77" w:rsidP="00B92B77">
      <w:pPr>
        <w:rPr>
          <w:i/>
          <w:lang w:val="en-GB"/>
        </w:rPr>
      </w:pPr>
      <w:r>
        <w:rPr>
          <w:i/>
          <w:lang w:val="en-GB"/>
        </w:rPr>
        <w:t>PI</w:t>
      </w:r>
      <w:r w:rsidR="005C73E0">
        <w:rPr>
          <w:i/>
          <w:lang w:val="en-GB"/>
        </w:rPr>
        <w:t>A</w:t>
      </w:r>
      <w:r>
        <w:rPr>
          <w:i/>
          <w:lang w:val="en-GB"/>
        </w:rPr>
        <w:t xml:space="preserve"> is a</w:t>
      </w:r>
      <w:r w:rsidR="00CA3CFC">
        <w:rPr>
          <w:i/>
          <w:lang w:val="en-GB"/>
        </w:rPr>
        <w:t>n</w:t>
      </w:r>
      <w:r>
        <w:rPr>
          <w:i/>
          <w:lang w:val="en-GB"/>
        </w:rPr>
        <w:t xml:space="preserve"> application that reaches beyond enterprise borders and realizes a chain encompassing exchange of information between actors across the whole food </w:t>
      </w:r>
      <w:r w:rsidR="007C509A">
        <w:rPr>
          <w:i/>
          <w:lang w:val="en-GB"/>
        </w:rPr>
        <w:t xml:space="preserve">supply </w:t>
      </w:r>
      <w:r>
        <w:rPr>
          <w:i/>
          <w:lang w:val="en-GB"/>
        </w:rPr>
        <w:t>chain</w:t>
      </w:r>
      <w:r w:rsidR="001D67C8">
        <w:rPr>
          <w:i/>
          <w:lang w:val="en-GB"/>
        </w:rPr>
        <w:t>,</w:t>
      </w:r>
      <w:r>
        <w:rPr>
          <w:i/>
          <w:lang w:val="en-GB"/>
        </w:rPr>
        <w:t xml:space="preserve"> reaching from production agriculture to retail.</w:t>
      </w:r>
    </w:p>
    <w:p w:rsidR="001D67C8" w:rsidRDefault="001D67C8" w:rsidP="001D67C8">
      <w:pPr>
        <w:rPr>
          <w:i/>
          <w:lang w:val="en-GB"/>
        </w:rPr>
      </w:pPr>
      <w:r>
        <w:rPr>
          <w:i/>
          <w:lang w:val="en-GB"/>
        </w:rPr>
        <w:t xml:space="preserve">This application provides </w:t>
      </w:r>
      <w:r w:rsidR="00CA3CFC">
        <w:rPr>
          <w:i/>
          <w:lang w:val="en-GB"/>
        </w:rPr>
        <w:t>a solution</w:t>
      </w:r>
      <w:r>
        <w:rPr>
          <w:i/>
          <w:lang w:val="en-GB"/>
        </w:rPr>
        <w:t xml:space="preserve"> for many problems the food chains are presently experiencing. It provides transparency across the chain on product characteristics, product quality, characteristics of production processes (e.g. inputs in agricultural production), logistics, tracking and tracing needs, and more. It also provides the basis for monitoring product quality and deliveries along the chain.</w:t>
      </w:r>
    </w:p>
    <w:p w:rsidR="00B92B77" w:rsidRDefault="00B92B77" w:rsidP="00B92B77">
      <w:pPr>
        <w:rPr>
          <w:i/>
          <w:lang w:val="en-GB"/>
        </w:rPr>
      </w:pPr>
      <w:r>
        <w:rPr>
          <w:i/>
          <w:lang w:val="en-GB"/>
        </w:rPr>
        <w:t>At retail</w:t>
      </w:r>
      <w:r w:rsidR="008E0508">
        <w:rPr>
          <w:i/>
          <w:lang w:val="en-GB"/>
        </w:rPr>
        <w:t xml:space="preserve">, PIA </w:t>
      </w:r>
      <w:r>
        <w:rPr>
          <w:i/>
          <w:lang w:val="en-GB"/>
        </w:rPr>
        <w:t>provides the interface for applications that communicate information to consumers. Beyond its reach across the chain, its innovation is in the separation of the information exchange in</w:t>
      </w:r>
      <w:r w:rsidR="004E018F">
        <w:rPr>
          <w:i/>
          <w:lang w:val="en-GB"/>
        </w:rPr>
        <w:t>to</w:t>
      </w:r>
      <w:r>
        <w:rPr>
          <w:i/>
          <w:lang w:val="en-GB"/>
        </w:rPr>
        <w:t xml:space="preserve"> a sequence of individual apps that are r</w:t>
      </w:r>
      <w:r w:rsidR="00BD20A3">
        <w:rPr>
          <w:i/>
          <w:lang w:val="en-GB"/>
        </w:rPr>
        <w:t>u</w:t>
      </w:r>
      <w:r>
        <w:rPr>
          <w:i/>
          <w:lang w:val="en-GB"/>
        </w:rPr>
        <w:t xml:space="preserve">n by individual enterprises, i.e. it is not based on a central data management approach. The central data management approach of previous systems has been the core barrier for adoption of information exchange solutions by the </w:t>
      </w:r>
      <w:r w:rsidR="001D67C8">
        <w:rPr>
          <w:i/>
          <w:lang w:val="en-GB"/>
        </w:rPr>
        <w:t xml:space="preserve">food </w:t>
      </w:r>
      <w:r>
        <w:rPr>
          <w:i/>
          <w:lang w:val="en-GB"/>
        </w:rPr>
        <w:t>sector.</w:t>
      </w:r>
      <w:r w:rsidR="004E018F">
        <w:rPr>
          <w:i/>
          <w:lang w:val="en-GB"/>
        </w:rPr>
        <w:t xml:space="preserve"> This </w:t>
      </w:r>
      <w:r w:rsidR="00FB5759">
        <w:rPr>
          <w:i/>
          <w:lang w:val="en-GB"/>
        </w:rPr>
        <w:t xml:space="preserve">innovative </w:t>
      </w:r>
      <w:r w:rsidR="004E018F">
        <w:rPr>
          <w:i/>
          <w:lang w:val="en-GB"/>
        </w:rPr>
        <w:t>approach</w:t>
      </w:r>
      <w:r w:rsidR="008E0508">
        <w:rPr>
          <w:i/>
          <w:lang w:val="en-GB"/>
        </w:rPr>
        <w:t>, enabled by the</w:t>
      </w:r>
      <w:r w:rsidR="004E018F">
        <w:rPr>
          <w:i/>
          <w:lang w:val="en-GB"/>
        </w:rPr>
        <w:t xml:space="preserve"> </w:t>
      </w:r>
      <w:r w:rsidR="008E0508">
        <w:rPr>
          <w:i/>
          <w:lang w:val="en-GB"/>
        </w:rPr>
        <w:t xml:space="preserve">FIspace platform, </w:t>
      </w:r>
      <w:r w:rsidR="004E018F">
        <w:rPr>
          <w:i/>
          <w:lang w:val="en-GB"/>
        </w:rPr>
        <w:t xml:space="preserve">has the potential </w:t>
      </w:r>
      <w:r w:rsidR="00FB5759">
        <w:rPr>
          <w:i/>
          <w:lang w:val="en-GB"/>
        </w:rPr>
        <w:t xml:space="preserve">of </w:t>
      </w:r>
      <w:r w:rsidR="004E018F">
        <w:rPr>
          <w:i/>
          <w:lang w:val="en-GB"/>
        </w:rPr>
        <w:t>being adopted by the sector beyond individual applications</w:t>
      </w:r>
      <w:r w:rsidR="008E0508">
        <w:rPr>
          <w:i/>
          <w:lang w:val="en-GB"/>
        </w:rPr>
        <w:t>.</w:t>
      </w:r>
    </w:p>
    <w:p w:rsidR="007F47EF" w:rsidRDefault="007F47EF" w:rsidP="007F47EF">
      <w:pPr>
        <w:pStyle w:val="berschrift1"/>
        <w:rPr>
          <w:lang w:val="en-GB"/>
        </w:rPr>
      </w:pPr>
      <w:r>
        <w:rPr>
          <w:lang w:val="en-GB"/>
        </w:rPr>
        <w:t xml:space="preserve">Key features / capabilities </w:t>
      </w:r>
    </w:p>
    <w:p w:rsidR="006030FB" w:rsidRPr="006030FB" w:rsidRDefault="006030FB" w:rsidP="006030FB">
      <w:pPr>
        <w:pStyle w:val="Listenabsatz"/>
        <w:numPr>
          <w:ilvl w:val="0"/>
          <w:numId w:val="4"/>
        </w:numPr>
        <w:rPr>
          <w:szCs w:val="20"/>
          <w:lang w:val="en-GB"/>
        </w:rPr>
      </w:pPr>
      <w:r w:rsidRPr="006030FB">
        <w:rPr>
          <w:szCs w:val="20"/>
          <w:lang w:val="en-GB"/>
        </w:rPr>
        <w:t>Capturing of initial product information as well as aggregation, disaggregation</w:t>
      </w:r>
      <w:r>
        <w:rPr>
          <w:szCs w:val="20"/>
          <w:lang w:val="en-GB"/>
        </w:rPr>
        <w:t>,</w:t>
      </w:r>
      <w:r w:rsidRPr="006030FB">
        <w:rPr>
          <w:szCs w:val="20"/>
          <w:lang w:val="en-GB"/>
        </w:rPr>
        <w:t xml:space="preserve"> adding and forwarding of</w:t>
      </w:r>
      <w:r>
        <w:rPr>
          <w:szCs w:val="20"/>
          <w:lang w:val="en-GB"/>
        </w:rPr>
        <w:t xml:space="preserve"> product information</w:t>
      </w:r>
      <w:r w:rsidR="00F704F4">
        <w:rPr>
          <w:szCs w:val="20"/>
          <w:lang w:val="en-GB"/>
        </w:rPr>
        <w:t xml:space="preserve"> with a f</w:t>
      </w:r>
      <w:r w:rsidR="00F704F4" w:rsidRPr="006030FB">
        <w:rPr>
          <w:szCs w:val="20"/>
          <w:lang w:val="en-GB"/>
        </w:rPr>
        <w:t>ine-grained access control</w:t>
      </w:r>
      <w:r w:rsidR="00F704F4">
        <w:rPr>
          <w:szCs w:val="20"/>
          <w:lang w:val="en-GB"/>
        </w:rPr>
        <w:t>,</w:t>
      </w:r>
    </w:p>
    <w:p w:rsidR="006030FB" w:rsidRDefault="006030FB" w:rsidP="006030FB">
      <w:pPr>
        <w:pStyle w:val="Listenabsatz"/>
        <w:numPr>
          <w:ilvl w:val="0"/>
          <w:numId w:val="4"/>
        </w:numPr>
        <w:rPr>
          <w:szCs w:val="20"/>
          <w:lang w:val="en-GB"/>
        </w:rPr>
      </w:pPr>
      <w:r w:rsidRPr="006030FB">
        <w:rPr>
          <w:szCs w:val="20"/>
          <w:lang w:val="en-GB"/>
        </w:rPr>
        <w:t xml:space="preserve">Receiving product information (accumulated along the supply chain) for incoming goods, providing quality feedback to suppliers, and </w:t>
      </w:r>
      <w:r w:rsidR="00F704F4">
        <w:rPr>
          <w:szCs w:val="20"/>
          <w:lang w:val="en-GB"/>
        </w:rPr>
        <w:t>offering</w:t>
      </w:r>
      <w:r w:rsidRPr="006030FB">
        <w:rPr>
          <w:szCs w:val="20"/>
          <w:lang w:val="en-GB"/>
        </w:rPr>
        <w:t xml:space="preserve"> the basis </w:t>
      </w:r>
      <w:r w:rsidR="00F704F4">
        <w:rPr>
          <w:szCs w:val="20"/>
          <w:lang w:val="en-GB"/>
        </w:rPr>
        <w:t>to communicate</w:t>
      </w:r>
      <w:r w:rsidRPr="006030FB">
        <w:rPr>
          <w:szCs w:val="20"/>
          <w:lang w:val="en-GB"/>
        </w:rPr>
        <w:t xml:space="preserve"> product information to consumers</w:t>
      </w:r>
      <w:r w:rsidR="00F704F4">
        <w:rPr>
          <w:szCs w:val="20"/>
          <w:lang w:val="en-GB"/>
        </w:rPr>
        <w:t>,</w:t>
      </w:r>
    </w:p>
    <w:p w:rsidR="004130E7" w:rsidRDefault="006030FB" w:rsidP="006030FB">
      <w:pPr>
        <w:pStyle w:val="Listenabsatz"/>
        <w:numPr>
          <w:ilvl w:val="0"/>
          <w:numId w:val="4"/>
        </w:numPr>
        <w:rPr>
          <w:szCs w:val="20"/>
          <w:lang w:val="en-GB"/>
        </w:rPr>
      </w:pPr>
      <w:r w:rsidRPr="006030FB">
        <w:rPr>
          <w:szCs w:val="20"/>
          <w:lang w:val="en-GB"/>
        </w:rPr>
        <w:t>Secure exchange of quality-related product information between supply chain stakeholders</w:t>
      </w:r>
      <w:r w:rsidR="00F704F4">
        <w:rPr>
          <w:szCs w:val="20"/>
          <w:lang w:val="en-GB"/>
        </w:rPr>
        <w:t>, s</w:t>
      </w:r>
      <w:r w:rsidR="00F704F4" w:rsidRPr="006030FB">
        <w:rPr>
          <w:szCs w:val="20"/>
          <w:lang w:val="en-GB"/>
        </w:rPr>
        <w:t>upporting private data sources with access management,</w:t>
      </w:r>
    </w:p>
    <w:p w:rsidR="006030FB" w:rsidRPr="006030FB" w:rsidRDefault="004130E7" w:rsidP="006030FB">
      <w:pPr>
        <w:pStyle w:val="Listenabsatz"/>
        <w:numPr>
          <w:ilvl w:val="0"/>
          <w:numId w:val="4"/>
        </w:numPr>
        <w:rPr>
          <w:szCs w:val="20"/>
          <w:lang w:val="en-GB"/>
        </w:rPr>
      </w:pPr>
      <w:r>
        <w:rPr>
          <w:szCs w:val="20"/>
          <w:lang w:val="en-GB"/>
        </w:rPr>
        <w:t xml:space="preserve">Enabling a decentralised </w:t>
      </w:r>
      <w:r w:rsidR="006030FB" w:rsidRPr="006030FB">
        <w:rPr>
          <w:szCs w:val="20"/>
          <w:lang w:val="en-GB"/>
        </w:rPr>
        <w:t>information storage</w:t>
      </w:r>
      <w:r>
        <w:rPr>
          <w:szCs w:val="20"/>
          <w:lang w:val="en-GB"/>
        </w:rPr>
        <w:t>, while also allowing a shared storage</w:t>
      </w:r>
      <w:r w:rsidR="006030FB" w:rsidRPr="006030FB">
        <w:rPr>
          <w:szCs w:val="20"/>
          <w:lang w:val="en-GB"/>
        </w:rPr>
        <w:t>,</w:t>
      </w:r>
      <w:r>
        <w:rPr>
          <w:szCs w:val="20"/>
          <w:lang w:val="en-GB"/>
        </w:rPr>
        <w:t xml:space="preserve"> just in accordance </w:t>
      </w:r>
      <w:r w:rsidR="00F704F4">
        <w:rPr>
          <w:szCs w:val="20"/>
          <w:lang w:val="en-GB"/>
        </w:rPr>
        <w:t>to</w:t>
      </w:r>
      <w:r>
        <w:rPr>
          <w:szCs w:val="20"/>
          <w:lang w:val="en-GB"/>
        </w:rPr>
        <w:t xml:space="preserve"> end-user preferences,</w:t>
      </w:r>
    </w:p>
    <w:p w:rsidR="00055ED9" w:rsidRDefault="00F704F4" w:rsidP="006030FB">
      <w:pPr>
        <w:pStyle w:val="Listenabsatz"/>
        <w:numPr>
          <w:ilvl w:val="0"/>
          <w:numId w:val="4"/>
        </w:numPr>
        <w:rPr>
          <w:szCs w:val="20"/>
          <w:lang w:val="en-GB"/>
        </w:rPr>
      </w:pPr>
      <w:r>
        <w:rPr>
          <w:szCs w:val="20"/>
          <w:lang w:val="en-GB"/>
        </w:rPr>
        <w:t>C</w:t>
      </w:r>
      <w:r w:rsidR="006030FB" w:rsidRPr="006030FB">
        <w:rPr>
          <w:szCs w:val="20"/>
          <w:lang w:val="en-GB"/>
        </w:rPr>
        <w:t xml:space="preserve">ompany confidential data </w:t>
      </w:r>
      <w:r w:rsidR="004130E7">
        <w:rPr>
          <w:szCs w:val="20"/>
          <w:lang w:val="en-GB"/>
        </w:rPr>
        <w:t xml:space="preserve">can be </w:t>
      </w:r>
      <w:r>
        <w:rPr>
          <w:szCs w:val="20"/>
          <w:lang w:val="en-GB"/>
        </w:rPr>
        <w:t>made available</w:t>
      </w:r>
      <w:r w:rsidR="004130E7">
        <w:rPr>
          <w:szCs w:val="20"/>
          <w:lang w:val="en-GB"/>
        </w:rPr>
        <w:t xml:space="preserve"> as appropriate</w:t>
      </w:r>
      <w:r w:rsidR="00055ED9">
        <w:rPr>
          <w:szCs w:val="20"/>
          <w:lang w:val="en-GB"/>
        </w:rPr>
        <w:t>,</w:t>
      </w:r>
      <w:r w:rsidR="004130E7">
        <w:rPr>
          <w:szCs w:val="20"/>
          <w:lang w:val="en-GB"/>
        </w:rPr>
        <w:t xml:space="preserve"> taking into account requirements of business agreements with different partners or individual situations </w:t>
      </w:r>
      <w:r w:rsidR="00055ED9">
        <w:rPr>
          <w:szCs w:val="20"/>
          <w:lang w:val="en-GB"/>
        </w:rPr>
        <w:t>in the supply chain,</w:t>
      </w:r>
    </w:p>
    <w:p w:rsidR="006030FB" w:rsidRDefault="006030FB" w:rsidP="006030FB">
      <w:pPr>
        <w:pStyle w:val="Listenabsatz"/>
        <w:numPr>
          <w:ilvl w:val="0"/>
          <w:numId w:val="4"/>
        </w:numPr>
        <w:rPr>
          <w:szCs w:val="20"/>
          <w:lang w:val="en-GB"/>
        </w:rPr>
      </w:pPr>
      <w:r>
        <w:rPr>
          <w:szCs w:val="20"/>
          <w:lang w:val="en-GB"/>
        </w:rPr>
        <w:t>E</w:t>
      </w:r>
      <w:r w:rsidRPr="006030FB">
        <w:rPr>
          <w:szCs w:val="20"/>
          <w:lang w:val="en-GB"/>
        </w:rPr>
        <w:t>stablishing traceability by linking incoming and outgoing goods</w:t>
      </w:r>
      <w:r w:rsidR="00055ED9">
        <w:rPr>
          <w:szCs w:val="20"/>
          <w:lang w:val="en-GB"/>
        </w:rPr>
        <w:t>,</w:t>
      </w:r>
    </w:p>
    <w:p w:rsidR="00055ED9" w:rsidRDefault="00055ED9" w:rsidP="006030FB">
      <w:pPr>
        <w:pStyle w:val="Listenabsatz"/>
        <w:numPr>
          <w:ilvl w:val="0"/>
          <w:numId w:val="4"/>
        </w:numPr>
        <w:rPr>
          <w:szCs w:val="20"/>
          <w:lang w:val="en-GB"/>
        </w:rPr>
      </w:pPr>
      <w:r>
        <w:rPr>
          <w:szCs w:val="20"/>
          <w:lang w:val="en-GB"/>
        </w:rPr>
        <w:t>Facilitating data acquisition based on templates that can be created with respect to requirements of partners, products or transport conditions,</w:t>
      </w:r>
    </w:p>
    <w:p w:rsidR="00055ED9" w:rsidRPr="00055ED9" w:rsidRDefault="00055ED9" w:rsidP="00055ED9">
      <w:pPr>
        <w:pStyle w:val="Listenabsatz"/>
        <w:numPr>
          <w:ilvl w:val="0"/>
          <w:numId w:val="4"/>
        </w:numPr>
        <w:rPr>
          <w:szCs w:val="20"/>
          <w:lang w:val="en-GB"/>
        </w:rPr>
      </w:pPr>
      <w:r w:rsidRPr="00055ED9">
        <w:rPr>
          <w:szCs w:val="20"/>
          <w:lang w:val="en-GB"/>
        </w:rPr>
        <w:t>Master data management that is able to reflect most recent standards in terms of content and format</w:t>
      </w:r>
      <w:r>
        <w:rPr>
          <w:szCs w:val="20"/>
          <w:lang w:val="en-GB"/>
        </w:rPr>
        <w:t>.</w:t>
      </w:r>
    </w:p>
    <w:p w:rsidR="007F47EF" w:rsidRDefault="007F47EF" w:rsidP="007F47EF">
      <w:pPr>
        <w:pStyle w:val="berschrift1"/>
        <w:rPr>
          <w:lang w:val="en-GB"/>
        </w:rPr>
      </w:pPr>
      <w:r>
        <w:rPr>
          <w:lang w:val="en-GB"/>
        </w:rPr>
        <w:t xml:space="preserve">Maturity level (TRL - Technology Readiness Level) </w:t>
      </w:r>
    </w:p>
    <w:p w:rsidR="00D21968" w:rsidRPr="001A7A4B" w:rsidRDefault="00D21968" w:rsidP="00D21968">
      <w:pPr>
        <w:pStyle w:val="Listenabsatz"/>
        <w:numPr>
          <w:ilvl w:val="0"/>
          <w:numId w:val="2"/>
        </w:numPr>
        <w:rPr>
          <w:lang w:val="en-GB"/>
        </w:rPr>
      </w:pPr>
      <w:r w:rsidRPr="001A7A4B">
        <w:rPr>
          <w:lang w:val="en-GB"/>
        </w:rPr>
        <w:t xml:space="preserve">TRL 4 – technology validated in lab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7F47EF" w:rsidRDefault="005C73E0" w:rsidP="005C73E0">
      <w:pPr>
        <w:pStyle w:val="Listenabsatz"/>
        <w:numPr>
          <w:ilvl w:val="1"/>
          <w:numId w:val="2"/>
        </w:numPr>
        <w:rPr>
          <w:lang w:val="en-GB"/>
        </w:rPr>
      </w:pPr>
      <w:r>
        <w:rPr>
          <w:lang w:val="en-GB"/>
        </w:rPr>
        <w:t xml:space="preserve">D400.6 </w:t>
      </w:r>
      <w:r w:rsidR="001F7B74">
        <w:rPr>
          <w:lang w:val="en-GB"/>
        </w:rPr>
        <w:t xml:space="preserve">(PU) </w:t>
      </w:r>
      <w:r>
        <w:rPr>
          <w:lang w:val="en-GB"/>
        </w:rPr>
        <w:t xml:space="preserve">- </w:t>
      </w:r>
      <w:r w:rsidRPr="005C73E0">
        <w:rPr>
          <w:lang w:val="en-GB"/>
        </w:rPr>
        <w:t>Functionalities of Baseline Applications</w:t>
      </w:r>
      <w:r>
        <w:rPr>
          <w:lang w:val="en-GB"/>
        </w:rPr>
        <w:t>, section 2</w:t>
      </w:r>
    </w:p>
    <w:p w:rsidR="005C73E0" w:rsidRDefault="005C73E0" w:rsidP="005C73E0">
      <w:pPr>
        <w:pStyle w:val="Listenabsatz"/>
        <w:numPr>
          <w:ilvl w:val="1"/>
          <w:numId w:val="2"/>
        </w:numPr>
        <w:rPr>
          <w:lang w:val="en-GB"/>
        </w:rPr>
      </w:pPr>
      <w:r>
        <w:rPr>
          <w:lang w:val="en-GB"/>
        </w:rPr>
        <w:t xml:space="preserve">D400.7 </w:t>
      </w:r>
      <w:r w:rsidR="001F7B74">
        <w:rPr>
          <w:lang w:val="en-GB"/>
        </w:rPr>
        <w:t xml:space="preserve">(PP) </w:t>
      </w:r>
      <w:r>
        <w:rPr>
          <w:lang w:val="en-GB"/>
        </w:rPr>
        <w:t xml:space="preserve">- </w:t>
      </w:r>
      <w:r w:rsidRPr="005C73E0">
        <w:rPr>
          <w:lang w:val="en-GB"/>
        </w:rPr>
        <w:t>Ini</w:t>
      </w:r>
      <w:r>
        <w:rPr>
          <w:lang w:val="en-GB"/>
        </w:rPr>
        <w:t>tial (Baseline) Applications 1</w:t>
      </w:r>
      <w:r w:rsidRPr="005C73E0">
        <w:rPr>
          <w:vertAlign w:val="superscript"/>
          <w:lang w:val="en-GB"/>
        </w:rPr>
        <w:t>st</w:t>
      </w:r>
      <w:r>
        <w:rPr>
          <w:lang w:val="en-GB"/>
        </w:rPr>
        <w:t xml:space="preserve"> </w:t>
      </w:r>
      <w:r w:rsidRPr="005C73E0">
        <w:rPr>
          <w:lang w:val="en-GB"/>
        </w:rPr>
        <w:t>Release</w:t>
      </w:r>
      <w:r>
        <w:rPr>
          <w:lang w:val="en-GB"/>
        </w:rPr>
        <w:t>, section 3.1.1</w:t>
      </w:r>
    </w:p>
    <w:p w:rsidR="005C73E0" w:rsidRDefault="005C73E0" w:rsidP="005C73E0">
      <w:pPr>
        <w:pStyle w:val="Listenabsatz"/>
        <w:numPr>
          <w:ilvl w:val="1"/>
          <w:numId w:val="2"/>
        </w:numPr>
        <w:rPr>
          <w:lang w:val="en-GB"/>
        </w:rPr>
      </w:pPr>
      <w:r>
        <w:rPr>
          <w:lang w:val="en-GB"/>
        </w:rPr>
        <w:t xml:space="preserve">D400.8 </w:t>
      </w:r>
      <w:r w:rsidR="001F7B74">
        <w:rPr>
          <w:lang w:val="en-GB"/>
        </w:rPr>
        <w:t xml:space="preserve">(PP) </w:t>
      </w:r>
      <w:r>
        <w:rPr>
          <w:lang w:val="en-GB"/>
        </w:rPr>
        <w:t>- Initial Applications 2</w:t>
      </w:r>
      <w:r w:rsidRPr="005C73E0">
        <w:rPr>
          <w:vertAlign w:val="superscript"/>
          <w:lang w:val="en-GB"/>
        </w:rPr>
        <w:t>nd</w:t>
      </w:r>
      <w:r>
        <w:rPr>
          <w:lang w:val="en-GB"/>
        </w:rPr>
        <w:t xml:space="preserve"> </w:t>
      </w:r>
      <w:r w:rsidRPr="005C73E0">
        <w:rPr>
          <w:lang w:val="en-GB"/>
        </w:rPr>
        <w:t>Release</w:t>
      </w:r>
      <w:r>
        <w:rPr>
          <w:lang w:val="en-GB"/>
        </w:rPr>
        <w:t>, section 3.1</w:t>
      </w:r>
    </w:p>
    <w:p w:rsidR="005C73E0" w:rsidRDefault="005C73E0" w:rsidP="005C73E0">
      <w:pPr>
        <w:pStyle w:val="Listenabsatz"/>
        <w:numPr>
          <w:ilvl w:val="1"/>
          <w:numId w:val="2"/>
        </w:numPr>
        <w:rPr>
          <w:lang w:val="en-GB"/>
        </w:rPr>
      </w:pPr>
      <w:r>
        <w:rPr>
          <w:lang w:val="en-GB"/>
        </w:rPr>
        <w:t xml:space="preserve">D400.9 </w:t>
      </w:r>
      <w:r w:rsidR="001F7B74">
        <w:rPr>
          <w:lang w:val="en-GB"/>
        </w:rPr>
        <w:t xml:space="preserve">(PP) </w:t>
      </w:r>
      <w:r>
        <w:rPr>
          <w:lang w:val="en-GB"/>
        </w:rPr>
        <w:t xml:space="preserve">- </w:t>
      </w:r>
      <w:r w:rsidRPr="005C73E0">
        <w:rPr>
          <w:lang w:val="en-GB"/>
        </w:rPr>
        <w:t>Initial Applications Third Release</w:t>
      </w:r>
      <w:r>
        <w:rPr>
          <w:lang w:val="en-GB"/>
        </w:rPr>
        <w:t>, section 3.1</w:t>
      </w:r>
    </w:p>
    <w:p w:rsidR="007F47EF" w:rsidRPr="007370FF" w:rsidRDefault="007E00B9" w:rsidP="007F47EF">
      <w:pPr>
        <w:pStyle w:val="Listenabsatz"/>
        <w:numPr>
          <w:ilvl w:val="1"/>
          <w:numId w:val="2"/>
        </w:numPr>
        <w:rPr>
          <w:lang w:val="en-GB"/>
        </w:rPr>
      </w:pPr>
      <w:hyperlink r:id="rId8" w:history="1">
        <w:r w:rsidR="008167D6">
          <w:rPr>
            <w:rStyle w:val="Hyperlink"/>
            <w:lang w:val="en-GB"/>
          </w:rPr>
          <w:t>Overview</w:t>
        </w:r>
      </w:hyperlink>
      <w:r w:rsidR="001F7B74" w:rsidRPr="007370FF">
        <w:rPr>
          <w:lang w:val="en-GB"/>
        </w:rPr>
        <w:t xml:space="preserve"> </w:t>
      </w:r>
      <w:r w:rsidR="008167D6">
        <w:rPr>
          <w:lang w:val="en-GB"/>
        </w:rPr>
        <w:t xml:space="preserve">of PIA </w:t>
      </w:r>
      <w:r w:rsidR="001F7B74" w:rsidRPr="007370FF">
        <w:rPr>
          <w:lang w:val="en-GB"/>
        </w:rPr>
        <w:t>on FIspace website</w:t>
      </w:r>
    </w:p>
    <w:p w:rsidR="007F47EF" w:rsidRDefault="007F47EF" w:rsidP="007F47EF">
      <w:pPr>
        <w:pStyle w:val="Listenabsatz"/>
        <w:numPr>
          <w:ilvl w:val="0"/>
          <w:numId w:val="2"/>
        </w:numPr>
      </w:pPr>
      <w:r w:rsidRPr="001A7A4B">
        <w:t>Deliverable (code/prototype)</w:t>
      </w:r>
    </w:p>
    <w:p w:rsidR="007F47EF" w:rsidRPr="00F77E53" w:rsidRDefault="001F7B74" w:rsidP="007F47EF">
      <w:pPr>
        <w:pStyle w:val="Listenabsatz"/>
        <w:numPr>
          <w:ilvl w:val="1"/>
          <w:numId w:val="2"/>
        </w:numPr>
        <w:rPr>
          <w:lang w:val="en-GB"/>
        </w:rPr>
      </w:pPr>
      <w:r w:rsidRPr="001F7B74">
        <w:rPr>
          <w:b/>
          <w:lang w:val="en-GB"/>
        </w:rPr>
        <w:lastRenderedPageBreak/>
        <w:t xml:space="preserve">PIA </w:t>
      </w:r>
      <w:r>
        <w:rPr>
          <w:b/>
          <w:lang w:val="en-GB"/>
        </w:rPr>
        <w:t xml:space="preserve">prototype </w:t>
      </w:r>
      <w:r w:rsidRPr="001F7B74">
        <w:rPr>
          <w:b/>
          <w:lang w:val="en-GB"/>
        </w:rPr>
        <w:t>start widget</w:t>
      </w:r>
      <w:r>
        <w:rPr>
          <w:lang w:val="en-GB"/>
        </w:rPr>
        <w:t xml:space="preserve"> deployed on the dashboard of a test user account in the Experimentation Environment</w:t>
      </w:r>
    </w:p>
    <w:p w:rsidR="007F47EF" w:rsidRDefault="001F7B74" w:rsidP="007F47EF">
      <w:pPr>
        <w:pStyle w:val="Listenabsatz"/>
        <w:numPr>
          <w:ilvl w:val="1"/>
          <w:numId w:val="2"/>
        </w:numPr>
        <w:rPr>
          <w:lang w:val="en-GB"/>
        </w:rPr>
      </w:pPr>
      <w:r w:rsidRPr="001F7B74">
        <w:rPr>
          <w:b/>
          <w:lang w:val="en-GB"/>
        </w:rPr>
        <w:t>PIA prototype backend</w:t>
      </w:r>
      <w:r w:rsidRPr="001F7B74">
        <w:rPr>
          <w:lang w:val="en-GB"/>
        </w:rPr>
        <w:t xml:space="preserve"> </w:t>
      </w:r>
      <w:r>
        <w:rPr>
          <w:lang w:val="en-GB"/>
        </w:rPr>
        <w:t>(provides also the PIA frontend) deployed on two servers</w:t>
      </w:r>
    </w:p>
    <w:p w:rsidR="009C2482" w:rsidRDefault="00183A12" w:rsidP="00183A12">
      <w:pPr>
        <w:pStyle w:val="Listenabsatz"/>
        <w:numPr>
          <w:ilvl w:val="2"/>
          <w:numId w:val="2"/>
        </w:numPr>
        <w:rPr>
          <w:lang w:val="en-GB"/>
        </w:rPr>
      </w:pPr>
      <w:r w:rsidRPr="00183A12">
        <w:rPr>
          <w:rStyle w:val="Hyperlink"/>
          <w:lang w:val="en-GB"/>
        </w:rPr>
        <w:t>https://pia-schorsch.fispace.eu:8443/ffv</w:t>
      </w:r>
      <w:r>
        <w:rPr>
          <w:rStyle w:val="Hyperlink"/>
          <w:lang w:val="en-GB"/>
        </w:rPr>
        <w:t xml:space="preserve"> </w:t>
      </w:r>
    </w:p>
    <w:p w:rsidR="009C2482" w:rsidRPr="009C2482" w:rsidRDefault="007E00B9" w:rsidP="00183A12">
      <w:pPr>
        <w:pStyle w:val="Listenabsatz"/>
        <w:numPr>
          <w:ilvl w:val="2"/>
          <w:numId w:val="2"/>
        </w:numPr>
        <w:rPr>
          <w:lang w:val="en-GB"/>
        </w:rPr>
      </w:pPr>
      <w:hyperlink r:id="rId9" w:history="1">
        <w:r w:rsidR="00183A12" w:rsidRPr="00B22637">
          <w:rPr>
            <w:rStyle w:val="Hyperlink"/>
            <w:lang w:val="en-GB"/>
          </w:rPr>
          <w:t>https://pia-ie.fispace.eu:8443/ffv</w:t>
        </w:r>
      </w:hyperlink>
    </w:p>
    <w:p w:rsidR="00055ED9" w:rsidRDefault="00055ED9" w:rsidP="007F47EF">
      <w:pPr>
        <w:pStyle w:val="Listenabsatz"/>
        <w:numPr>
          <w:ilvl w:val="0"/>
          <w:numId w:val="2"/>
        </w:numPr>
      </w:pPr>
      <w:r>
        <w:t>Publication</w:t>
      </w:r>
    </w:p>
    <w:p w:rsidR="00055ED9" w:rsidRDefault="00055ED9" w:rsidP="00055ED9">
      <w:pPr>
        <w:pStyle w:val="Listenabsatz"/>
        <w:numPr>
          <w:ilvl w:val="1"/>
          <w:numId w:val="2"/>
        </w:numPr>
        <w:rPr>
          <w:lang w:val="en-GB"/>
        </w:rPr>
      </w:pPr>
      <w:r w:rsidRPr="00055ED9">
        <w:rPr>
          <w:lang w:val="en-GB"/>
        </w:rPr>
        <w:t>Sundmaeker, Harald; Einramhof, Peter</w:t>
      </w:r>
      <w:r>
        <w:rPr>
          <w:lang w:val="en-GB"/>
        </w:rPr>
        <w:t xml:space="preserve">; </w:t>
      </w:r>
      <w:r w:rsidRPr="00055ED9">
        <w:rPr>
          <w:lang w:val="en-GB"/>
        </w:rPr>
        <w:t>Systematic Heterogeneity: How to combine Smartphone related Apps with FIspace</w:t>
      </w:r>
      <w:r>
        <w:rPr>
          <w:lang w:val="en-GB"/>
        </w:rPr>
        <w:t xml:space="preserve">. </w:t>
      </w:r>
      <w:r w:rsidRPr="00055ED9">
        <w:rPr>
          <w:lang w:val="en-GB"/>
        </w:rPr>
        <w:t>Journal on Food System Dynamics, Vol 6(2)</w:t>
      </w:r>
      <w:r>
        <w:rPr>
          <w:lang w:val="en-GB"/>
        </w:rPr>
        <w:t xml:space="preserve">; PP. 117-128; available at </w:t>
      </w:r>
      <w:hyperlink r:id="rId10" w:history="1">
        <w:r w:rsidRPr="00B56951">
          <w:rPr>
            <w:rStyle w:val="Hyperlink"/>
            <w:lang w:val="en-GB"/>
          </w:rPr>
          <w:t>http://www.foodsystemdynamics.org/</w:t>
        </w:r>
      </w:hyperlink>
      <w:r>
        <w:rPr>
          <w:lang w:val="en-GB"/>
        </w:rPr>
        <w:t xml:space="preserve"> </w:t>
      </w:r>
    </w:p>
    <w:p w:rsidR="007F47EF" w:rsidRDefault="007F47EF" w:rsidP="007F47EF">
      <w:pPr>
        <w:pStyle w:val="Listenabsatz"/>
        <w:numPr>
          <w:ilvl w:val="0"/>
          <w:numId w:val="2"/>
        </w:numPr>
      </w:pPr>
      <w:r>
        <w:t>Presentation</w:t>
      </w:r>
    </w:p>
    <w:p w:rsidR="00063D97" w:rsidRPr="006C46B8" w:rsidRDefault="00063D97" w:rsidP="00063D97">
      <w:pPr>
        <w:pStyle w:val="Listenabsatz"/>
        <w:numPr>
          <w:ilvl w:val="1"/>
          <w:numId w:val="2"/>
        </w:numPr>
        <w:rPr>
          <w:lang w:val="en-GB"/>
        </w:rPr>
      </w:pPr>
      <w:r w:rsidRPr="006C46B8">
        <w:rPr>
          <w:lang w:val="en-GB"/>
        </w:rPr>
        <w:t xml:space="preserve">Poster and accompanying </w:t>
      </w:r>
      <w:r>
        <w:rPr>
          <w:lang w:val="en-GB"/>
        </w:rPr>
        <w:t>PowerPoint presentation at the ECFI 2, September 2014, Munich</w:t>
      </w:r>
    </w:p>
    <w:p w:rsidR="007F47EF" w:rsidRDefault="007F47EF" w:rsidP="007F47EF">
      <w:pPr>
        <w:pStyle w:val="berschrift1"/>
        <w:rPr>
          <w:lang w:val="en-GB"/>
        </w:rPr>
      </w:pPr>
      <w:r w:rsidRPr="001A7A4B">
        <w:rPr>
          <w:lang w:val="en-GB"/>
        </w:rPr>
        <w:t>Licensing</w:t>
      </w:r>
    </w:p>
    <w:p w:rsidR="007F47EF" w:rsidRDefault="005D6C10" w:rsidP="007F47EF">
      <w:pPr>
        <w:rPr>
          <w:i/>
          <w:lang w:val="en-GB"/>
        </w:rPr>
      </w:pPr>
      <w:r>
        <w:rPr>
          <w:lang w:val="en-GB"/>
        </w:rPr>
        <w:t>Closed source</w:t>
      </w:r>
      <w:r w:rsidR="001F7B74">
        <w:rPr>
          <w:lang w:val="en-GB"/>
        </w:rPr>
        <w:t xml:space="preserve"> (prototype code)</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BE78E1" w:rsidRDefault="005D6C10" w:rsidP="00F25937">
      <w:pPr>
        <w:rPr>
          <w:i/>
          <w:lang w:val="en-GB"/>
        </w:rPr>
      </w:pPr>
      <w:r>
        <w:rPr>
          <w:i/>
          <w:lang w:val="en-GB"/>
        </w:rPr>
        <w:t xml:space="preserve">PIA has been developed by </w:t>
      </w:r>
      <w:r w:rsidR="00444E8F" w:rsidRPr="00444E8F">
        <w:rPr>
          <w:i/>
          <w:lang w:val="en-GB"/>
        </w:rPr>
        <w:t>ATB - Institute for Applied Systems Technology Bremen GmbH (Germany)</w:t>
      </w:r>
      <w:r>
        <w:rPr>
          <w:i/>
          <w:lang w:val="en-GB"/>
        </w:rPr>
        <w:t>. E-mail contacts:</w:t>
      </w:r>
    </w:p>
    <w:p w:rsidR="00E177FE" w:rsidRPr="00E177FE" w:rsidRDefault="00C10087" w:rsidP="00E177FE">
      <w:pPr>
        <w:pStyle w:val="Listenabsatz"/>
        <w:numPr>
          <w:ilvl w:val="0"/>
          <w:numId w:val="5"/>
        </w:numPr>
        <w:rPr>
          <w:szCs w:val="20"/>
          <w:lang w:val="en-GB"/>
        </w:rPr>
      </w:pPr>
      <w:r w:rsidRPr="00C10087">
        <w:rPr>
          <w:szCs w:val="20"/>
          <w:lang w:val="en-GB"/>
        </w:rPr>
        <w:t>Harald Sundmaeker</w:t>
      </w:r>
      <w:r>
        <w:rPr>
          <w:szCs w:val="20"/>
          <w:lang w:val="en-GB"/>
        </w:rPr>
        <w:t xml:space="preserve"> </w:t>
      </w:r>
      <w:r w:rsidRPr="00C10087">
        <w:rPr>
          <w:szCs w:val="20"/>
          <w:lang w:val="en-GB"/>
        </w:rPr>
        <w:t>&lt;</w:t>
      </w:r>
      <w:hyperlink r:id="rId11" w:history="1">
        <w:r w:rsidR="00643BB7" w:rsidRPr="009D449F">
          <w:rPr>
            <w:rStyle w:val="Hyperlink"/>
            <w:szCs w:val="20"/>
            <w:lang w:val="en-GB"/>
          </w:rPr>
          <w:t>sundmaeker@atb-bremen.de</w:t>
        </w:r>
      </w:hyperlink>
      <w:r w:rsidRPr="00C10087">
        <w:rPr>
          <w:szCs w:val="20"/>
          <w:lang w:val="en-GB"/>
        </w:rPr>
        <w:t>&gt;</w:t>
      </w:r>
      <w:r>
        <w:rPr>
          <w:szCs w:val="20"/>
          <w:lang w:val="en-GB"/>
        </w:rPr>
        <w:t xml:space="preserve"> </w:t>
      </w:r>
    </w:p>
    <w:p w:rsidR="00E177FE" w:rsidRPr="00EF63D7" w:rsidRDefault="00E177FE" w:rsidP="00E177FE">
      <w:pPr>
        <w:pStyle w:val="Listenabsatz"/>
        <w:numPr>
          <w:ilvl w:val="0"/>
          <w:numId w:val="5"/>
        </w:numPr>
        <w:rPr>
          <w:szCs w:val="20"/>
        </w:rPr>
      </w:pPr>
      <w:r w:rsidRPr="00EF63D7">
        <w:rPr>
          <w:szCs w:val="20"/>
        </w:rPr>
        <w:t>Norman Gülcü &lt;</w:t>
      </w:r>
      <w:hyperlink r:id="rId12" w:history="1">
        <w:r w:rsidR="00534BED" w:rsidRPr="00EF63D7">
          <w:rPr>
            <w:rStyle w:val="Hyperlink"/>
            <w:szCs w:val="20"/>
          </w:rPr>
          <w:t>guelcue@atb-bremen.de</w:t>
        </w:r>
      </w:hyperlink>
      <w:r w:rsidRPr="00EF63D7">
        <w:rPr>
          <w:szCs w:val="20"/>
        </w:rPr>
        <w:t xml:space="preserve">&gt; </w:t>
      </w:r>
    </w:p>
    <w:p w:rsidR="00E177FE" w:rsidRPr="00EF63D7" w:rsidRDefault="00141D29" w:rsidP="00E177FE">
      <w:pPr>
        <w:pStyle w:val="Listenabsatz"/>
        <w:numPr>
          <w:ilvl w:val="0"/>
          <w:numId w:val="5"/>
        </w:numPr>
        <w:rPr>
          <w:szCs w:val="20"/>
        </w:rPr>
      </w:pPr>
      <w:r w:rsidRPr="00EF63D7">
        <w:rPr>
          <w:szCs w:val="20"/>
        </w:rPr>
        <w:t>Peter Einramhof &lt;</w:t>
      </w:r>
      <w:hyperlink r:id="rId13" w:history="1">
        <w:r w:rsidR="00534BED" w:rsidRPr="00EF63D7">
          <w:rPr>
            <w:rStyle w:val="Hyperlink"/>
            <w:szCs w:val="20"/>
          </w:rPr>
          <w:t>einramhof@atb-bremen.de</w:t>
        </w:r>
      </w:hyperlink>
      <w:r w:rsidRPr="00EF63D7">
        <w:rPr>
          <w:szCs w:val="20"/>
        </w:rPr>
        <w:t xml:space="preserve">&gt; </w:t>
      </w:r>
    </w:p>
    <w:p w:rsidR="00643BB7" w:rsidRPr="00EF63D7" w:rsidRDefault="00643BB7" w:rsidP="007F47EF"/>
    <w:sectPr w:rsidR="00643BB7" w:rsidRPr="00EF63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0B9" w:rsidRDefault="007E00B9" w:rsidP="001A7A4B">
      <w:pPr>
        <w:spacing w:after="0" w:line="240" w:lineRule="auto"/>
      </w:pPr>
      <w:r>
        <w:separator/>
      </w:r>
    </w:p>
  </w:endnote>
  <w:endnote w:type="continuationSeparator" w:id="0">
    <w:p w:rsidR="007E00B9" w:rsidRDefault="007E00B9"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0B9" w:rsidRDefault="007E00B9" w:rsidP="001A7A4B">
      <w:pPr>
        <w:spacing w:after="0" w:line="240" w:lineRule="auto"/>
      </w:pPr>
      <w:r>
        <w:separator/>
      </w:r>
    </w:p>
  </w:footnote>
  <w:footnote w:type="continuationSeparator" w:id="0">
    <w:p w:rsidR="007E00B9" w:rsidRDefault="007E00B9"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55ED9"/>
    <w:rsid w:val="00063D97"/>
    <w:rsid w:val="00066060"/>
    <w:rsid w:val="00095960"/>
    <w:rsid w:val="000D6C85"/>
    <w:rsid w:val="000E289C"/>
    <w:rsid w:val="000F6744"/>
    <w:rsid w:val="00141D29"/>
    <w:rsid w:val="001614D6"/>
    <w:rsid w:val="00166E41"/>
    <w:rsid w:val="00183A12"/>
    <w:rsid w:val="00193575"/>
    <w:rsid w:val="001A7A4B"/>
    <w:rsid w:val="001B5E53"/>
    <w:rsid w:val="001D67C8"/>
    <w:rsid w:val="001F0BFC"/>
    <w:rsid w:val="001F7B74"/>
    <w:rsid w:val="0020250C"/>
    <w:rsid w:val="00222372"/>
    <w:rsid w:val="00242835"/>
    <w:rsid w:val="002C1670"/>
    <w:rsid w:val="002E1BED"/>
    <w:rsid w:val="002E3277"/>
    <w:rsid w:val="00315365"/>
    <w:rsid w:val="00320DCD"/>
    <w:rsid w:val="0035274C"/>
    <w:rsid w:val="004130E7"/>
    <w:rsid w:val="004145DE"/>
    <w:rsid w:val="00444E8F"/>
    <w:rsid w:val="004B79CE"/>
    <w:rsid w:val="004E018F"/>
    <w:rsid w:val="004E41EE"/>
    <w:rsid w:val="00510525"/>
    <w:rsid w:val="00534BED"/>
    <w:rsid w:val="005C248D"/>
    <w:rsid w:val="005C73E0"/>
    <w:rsid w:val="005D6C10"/>
    <w:rsid w:val="006030FB"/>
    <w:rsid w:val="00643BB7"/>
    <w:rsid w:val="00655A09"/>
    <w:rsid w:val="006A57F7"/>
    <w:rsid w:val="006C0247"/>
    <w:rsid w:val="006C0D2B"/>
    <w:rsid w:val="006C46B8"/>
    <w:rsid w:val="00732359"/>
    <w:rsid w:val="007370FF"/>
    <w:rsid w:val="0074357E"/>
    <w:rsid w:val="00753642"/>
    <w:rsid w:val="00772EB1"/>
    <w:rsid w:val="00772FF9"/>
    <w:rsid w:val="00786EB2"/>
    <w:rsid w:val="007C509A"/>
    <w:rsid w:val="007E00B9"/>
    <w:rsid w:val="007E1D4A"/>
    <w:rsid w:val="007F47EF"/>
    <w:rsid w:val="0081021A"/>
    <w:rsid w:val="008167D6"/>
    <w:rsid w:val="0087790D"/>
    <w:rsid w:val="008B1046"/>
    <w:rsid w:val="008E0508"/>
    <w:rsid w:val="008F0955"/>
    <w:rsid w:val="00903B0D"/>
    <w:rsid w:val="00927954"/>
    <w:rsid w:val="009B0389"/>
    <w:rsid w:val="009C22DA"/>
    <w:rsid w:val="009C2482"/>
    <w:rsid w:val="00A32AEA"/>
    <w:rsid w:val="00B80BB1"/>
    <w:rsid w:val="00B92B77"/>
    <w:rsid w:val="00BA1EA0"/>
    <w:rsid w:val="00BB1B80"/>
    <w:rsid w:val="00BC221E"/>
    <w:rsid w:val="00BD20A3"/>
    <w:rsid w:val="00C10087"/>
    <w:rsid w:val="00C10F9E"/>
    <w:rsid w:val="00C36D3A"/>
    <w:rsid w:val="00C57B41"/>
    <w:rsid w:val="00C84845"/>
    <w:rsid w:val="00CA3CFC"/>
    <w:rsid w:val="00CC5B33"/>
    <w:rsid w:val="00CF41DA"/>
    <w:rsid w:val="00D21968"/>
    <w:rsid w:val="00D622C2"/>
    <w:rsid w:val="00DA4B18"/>
    <w:rsid w:val="00DB4E90"/>
    <w:rsid w:val="00DE1DFE"/>
    <w:rsid w:val="00E0075F"/>
    <w:rsid w:val="00E177FE"/>
    <w:rsid w:val="00E23405"/>
    <w:rsid w:val="00E34429"/>
    <w:rsid w:val="00E97364"/>
    <w:rsid w:val="00EE7273"/>
    <w:rsid w:val="00EF63D7"/>
    <w:rsid w:val="00F05DDD"/>
    <w:rsid w:val="00F21871"/>
    <w:rsid w:val="00F25937"/>
    <w:rsid w:val="00F678AD"/>
    <w:rsid w:val="00F704F4"/>
    <w:rsid w:val="00F77E53"/>
    <w:rsid w:val="00FB5759"/>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ABF9B-686F-48E6-B6E2-D39DFC0A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 w:type="character" w:styleId="Kommentarzeichen">
    <w:name w:val="annotation reference"/>
    <w:basedOn w:val="Absatz-Standardschriftart"/>
    <w:uiPriority w:val="99"/>
    <w:semiHidden/>
    <w:unhideWhenUsed/>
    <w:rsid w:val="00D21968"/>
    <w:rPr>
      <w:sz w:val="16"/>
      <w:szCs w:val="16"/>
    </w:rPr>
  </w:style>
  <w:style w:type="paragraph" w:styleId="Kommentartext">
    <w:name w:val="annotation text"/>
    <w:basedOn w:val="Standard"/>
    <w:link w:val="KommentartextZchn"/>
    <w:uiPriority w:val="99"/>
    <w:semiHidden/>
    <w:unhideWhenUsed/>
    <w:rsid w:val="00D21968"/>
    <w:pPr>
      <w:spacing w:line="240" w:lineRule="auto"/>
    </w:pPr>
    <w:rPr>
      <w:szCs w:val="20"/>
    </w:rPr>
  </w:style>
  <w:style w:type="character" w:customStyle="1" w:styleId="KommentartextZchn">
    <w:name w:val="Kommentartext Zchn"/>
    <w:basedOn w:val="Absatz-Standardschriftart"/>
    <w:link w:val="Kommentartext"/>
    <w:uiPriority w:val="99"/>
    <w:semiHidden/>
    <w:rsid w:val="00D21968"/>
    <w:rPr>
      <w:sz w:val="20"/>
      <w:szCs w:val="20"/>
    </w:rPr>
  </w:style>
  <w:style w:type="paragraph" w:styleId="Kommentarthema">
    <w:name w:val="annotation subject"/>
    <w:basedOn w:val="Kommentartext"/>
    <w:next w:val="Kommentartext"/>
    <w:link w:val="KommentarthemaZchn"/>
    <w:uiPriority w:val="99"/>
    <w:semiHidden/>
    <w:unhideWhenUsed/>
    <w:rsid w:val="00D21968"/>
    <w:rPr>
      <w:b/>
      <w:bCs/>
    </w:rPr>
  </w:style>
  <w:style w:type="character" w:customStyle="1" w:styleId="KommentarthemaZchn">
    <w:name w:val="Kommentarthema Zchn"/>
    <w:basedOn w:val="KommentartextZchn"/>
    <w:link w:val="Kommentarthema"/>
    <w:uiPriority w:val="99"/>
    <w:semiHidden/>
    <w:rsid w:val="00D21968"/>
    <w:rPr>
      <w:b/>
      <w:bCs/>
      <w:sz w:val="20"/>
      <w:szCs w:val="20"/>
    </w:rPr>
  </w:style>
  <w:style w:type="character" w:styleId="BesuchterHyperlink">
    <w:name w:val="FollowedHyperlink"/>
    <w:basedOn w:val="Absatz-Standardschriftart"/>
    <w:uiPriority w:val="99"/>
    <w:semiHidden/>
    <w:unhideWhenUsed/>
    <w:rsid w:val="00183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space.eu/piaapp.html" TargetMode="External"/><Relationship Id="rId13" Type="http://schemas.openxmlformats.org/officeDocument/2006/relationships/hyperlink" Target="mailto:einramhof@atb-brem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elcue@atb-brem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dmaeker@atb-brem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oodsystemdynamics.org/" TargetMode="External"/><Relationship Id="rId4" Type="http://schemas.openxmlformats.org/officeDocument/2006/relationships/settings" Target="settings.xml"/><Relationship Id="rId9" Type="http://schemas.openxmlformats.org/officeDocument/2006/relationships/hyperlink" Target="https://pia-ie.fispace.eu:8443/ffv"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36C7-0ACB-4A29-A7DE-AEC1C570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3591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ATB Institut für angewandte Systemtechnik Bremen GmbH</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FIspace Innovations</dc:title>
  <dc:subject>PIA - Product Information App</dc:subject>
  <dc:creator>Harald Sundmaeker, Peter Einramhof, Norman Gülcü</dc:creator>
  <cp:keywords>FIspace, FIWARE, Product, Information, App</cp:keywords>
  <dc:description>ATB Institute for Applied Systems Technology Bremen GmbH; Wiener Str. 1; D-28359 Bremen_x000d_
Tel.: +49 (421) 220920  Fax: +49 (421) 2209210_x000d_
sundmaeker@atb-bremen.de_x000d_
http://www.atb-bremen.de</dc:description>
  <cp:lastModifiedBy>Andreas Metzger</cp:lastModifiedBy>
  <cp:revision>19</cp:revision>
  <dcterms:created xsi:type="dcterms:W3CDTF">2015-09-11T13:18:00Z</dcterms:created>
  <dcterms:modified xsi:type="dcterms:W3CDTF">2015-11-09T16:40:00Z</dcterms:modified>
  <cp:category>Innovation, Applicaiton, Software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2015-09-29T22:00:00Z</vt:filetime>
  </property>
  <property fmtid="{D5CDD505-2E9C-101B-9397-08002B2CF9AE}" pid="3" name="Application">
    <vt:lpwstr>Product Information App</vt:lpwstr>
  </property>
  <property fmtid="{D5CDD505-2E9C-101B-9397-08002B2CF9AE}" pid="4" name="Acronym">
    <vt:lpwstr>PIA</vt:lpwstr>
  </property>
  <property fmtid="{D5CDD505-2E9C-101B-9397-08002B2CF9AE}" pid="5" name="Project">
    <vt:lpwstr>FIspace</vt:lpwstr>
  </property>
</Properties>
</file>